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3"/>
        <w:tblW w:w="5700" w:type="dxa"/>
        <w:tblLook w:val="01E0" w:firstRow="1" w:lastRow="1" w:firstColumn="1" w:lastColumn="1" w:noHBand="0" w:noVBand="0"/>
      </w:tblPr>
      <w:tblGrid>
        <w:gridCol w:w="5700"/>
      </w:tblGrid>
      <w:tr w:rsidR="00817345" w:rsidRPr="00977E8C" w:rsidTr="00817345">
        <w:trPr>
          <w:trHeight w:val="2295"/>
        </w:trPr>
        <w:tc>
          <w:tcPr>
            <w:tcW w:w="5700" w:type="dxa"/>
          </w:tcPr>
          <w:p w:rsidR="00817345" w:rsidRPr="00F8358E" w:rsidRDefault="00817345" w:rsidP="00817345">
            <w:pPr>
              <w:jc w:val="center"/>
              <w:rPr>
                <w:rFonts w:ascii="Arial" w:hAnsi="Arial" w:cs="Arial"/>
                <w:sz w:val="18"/>
                <w:szCs w:val="18"/>
              </w:rPr>
            </w:pPr>
          </w:p>
          <w:p w:rsidR="00817345" w:rsidRPr="00F8358E" w:rsidRDefault="00817345" w:rsidP="00817345">
            <w:pPr>
              <w:jc w:val="center"/>
              <w:rPr>
                <w:rFonts w:ascii="Arial" w:hAnsi="Arial" w:cs="Arial"/>
                <w:sz w:val="18"/>
                <w:szCs w:val="18"/>
              </w:rPr>
            </w:pPr>
            <w:r>
              <w:rPr>
                <w:rFonts w:ascii="Arial" w:hAnsi="Arial" w:cs="Arial"/>
                <w:b/>
                <w:noProof/>
                <w:sz w:val="18"/>
                <w:szCs w:val="18"/>
              </w:rPr>
              <w:drawing>
                <wp:inline distT="0" distB="0" distL="0" distR="0" wp14:anchorId="497E3E6E" wp14:editId="0B2DEB63">
                  <wp:extent cx="457200" cy="441960"/>
                  <wp:effectExtent l="1905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p>
          <w:p w:rsidR="00817345" w:rsidRPr="00F8358E" w:rsidRDefault="00817345" w:rsidP="00817345">
            <w:pPr>
              <w:jc w:val="center"/>
              <w:rPr>
                <w:rFonts w:ascii="Arial" w:hAnsi="Arial" w:cs="Arial"/>
                <w:sz w:val="18"/>
                <w:szCs w:val="18"/>
              </w:rPr>
            </w:pPr>
          </w:p>
          <w:p w:rsidR="00817345" w:rsidRPr="00F8358E" w:rsidRDefault="00817345" w:rsidP="00817345">
            <w:pPr>
              <w:jc w:val="center"/>
              <w:rPr>
                <w:rFonts w:ascii="Arial" w:hAnsi="Arial" w:cs="Arial"/>
                <w:sz w:val="18"/>
                <w:szCs w:val="18"/>
              </w:rPr>
            </w:pPr>
            <w:r w:rsidRPr="00F8358E">
              <w:rPr>
                <w:rFonts w:ascii="Arial" w:hAnsi="Arial" w:cs="Arial"/>
                <w:sz w:val="18"/>
                <w:szCs w:val="18"/>
              </w:rPr>
              <w:t>ΕΛΛΗΝΙΚΗ ΔΗΜΟΚΡΑΤΙΑ</w:t>
            </w:r>
          </w:p>
          <w:p w:rsidR="00817345" w:rsidRPr="006F0AA9" w:rsidRDefault="00817345" w:rsidP="00817345">
            <w:pPr>
              <w:ind w:left="-180"/>
              <w:jc w:val="center"/>
              <w:rPr>
                <w:rFonts w:ascii="Arial" w:hAnsi="Arial" w:cs="Arial"/>
                <w:b/>
                <w:sz w:val="18"/>
                <w:szCs w:val="18"/>
              </w:rPr>
            </w:pPr>
            <w:r w:rsidRPr="00F8358E">
              <w:rPr>
                <w:rFonts w:ascii="Arial" w:hAnsi="Arial" w:cs="Arial"/>
                <w:b/>
                <w:sz w:val="18"/>
                <w:szCs w:val="18"/>
              </w:rPr>
              <w:t>ΕΠΙΜΕΛΗΤΗΡΙΟ ΚΕΡΚΥΡΑΣ</w:t>
            </w:r>
          </w:p>
          <w:p w:rsidR="00817345" w:rsidRPr="006F0AA9" w:rsidRDefault="00817345" w:rsidP="00817345">
            <w:pPr>
              <w:ind w:left="-180"/>
              <w:jc w:val="center"/>
              <w:rPr>
                <w:rFonts w:ascii="Arial" w:hAnsi="Arial" w:cs="Arial"/>
                <w:b/>
                <w:sz w:val="18"/>
                <w:szCs w:val="18"/>
              </w:rPr>
            </w:pPr>
          </w:p>
          <w:p w:rsidR="00817345" w:rsidRPr="00371139" w:rsidRDefault="00817345" w:rsidP="00817345">
            <w:pPr>
              <w:jc w:val="center"/>
              <w:rPr>
                <w:rFonts w:ascii="Arial" w:hAnsi="Arial" w:cs="Arial"/>
                <w:sz w:val="18"/>
                <w:szCs w:val="18"/>
              </w:rPr>
            </w:pPr>
            <w:smartTag w:uri="urn:schemas-microsoft-com:office:smarttags" w:element="PlaceName">
              <w:r w:rsidRPr="00F8358E">
                <w:rPr>
                  <w:rFonts w:ascii="Arial" w:hAnsi="Arial" w:cs="Arial"/>
                  <w:sz w:val="18"/>
                  <w:szCs w:val="18"/>
                  <w:lang w:val="en-US"/>
                </w:rPr>
                <w:t>HELLENIC</w:t>
              </w:r>
            </w:smartTag>
            <w:r w:rsidRPr="00371139">
              <w:rPr>
                <w:rFonts w:ascii="Arial" w:hAnsi="Arial" w:cs="Arial"/>
                <w:sz w:val="18"/>
                <w:szCs w:val="18"/>
              </w:rPr>
              <w:t xml:space="preserve"> </w:t>
            </w:r>
            <w:smartTag w:uri="urn:schemas-microsoft-com:office:smarttags" w:element="PlaceType">
              <w:r w:rsidRPr="00F8358E">
                <w:rPr>
                  <w:rFonts w:ascii="Arial" w:hAnsi="Arial" w:cs="Arial"/>
                  <w:sz w:val="18"/>
                  <w:szCs w:val="18"/>
                  <w:lang w:val="en-US"/>
                </w:rPr>
                <w:t>REPUBLIC</w:t>
              </w:r>
            </w:smartTag>
          </w:p>
          <w:p w:rsidR="00817345" w:rsidRPr="00F8358E" w:rsidRDefault="00817345" w:rsidP="00817345">
            <w:pPr>
              <w:spacing w:after="120"/>
              <w:jc w:val="center"/>
              <w:rPr>
                <w:rFonts w:ascii="Arial" w:hAnsi="Arial" w:cs="Arial"/>
                <w:b/>
                <w:sz w:val="18"/>
                <w:szCs w:val="18"/>
                <w:lang w:val="en-GB"/>
              </w:rPr>
            </w:pPr>
            <w:r w:rsidRPr="00F8358E">
              <w:rPr>
                <w:rFonts w:ascii="Arial" w:hAnsi="Arial" w:cs="Arial"/>
                <w:b/>
                <w:sz w:val="18"/>
                <w:szCs w:val="18"/>
                <w:lang w:val="en-US"/>
              </w:rPr>
              <w:t>KERKYRA CHAMBER OF COMMERCE AND INDUSTRY</w:t>
            </w:r>
          </w:p>
          <w:p w:rsidR="00817345" w:rsidRPr="00F8358E" w:rsidRDefault="00817345" w:rsidP="00817345">
            <w:pPr>
              <w:spacing w:before="120" w:after="120"/>
              <w:rPr>
                <w:rFonts w:ascii="Arial" w:hAnsi="Arial" w:cs="Arial"/>
                <w:sz w:val="18"/>
                <w:szCs w:val="18"/>
                <w:lang w:val="en-GB"/>
              </w:rPr>
            </w:pPr>
          </w:p>
        </w:tc>
      </w:tr>
    </w:tbl>
    <w:p w:rsidR="00EC5F92" w:rsidRPr="00977E8C" w:rsidRDefault="00EC5F92" w:rsidP="00371139">
      <w:pPr>
        <w:rPr>
          <w:rFonts w:ascii="Arial" w:hAnsi="Arial" w:cs="Arial"/>
          <w:b/>
          <w:sz w:val="18"/>
          <w:szCs w:val="18"/>
          <w:lang w:val="en-US"/>
        </w:rPr>
      </w:pPr>
    </w:p>
    <w:p w:rsidR="00E078B9" w:rsidRPr="00977E8C" w:rsidRDefault="00E078B9" w:rsidP="006F0AA9">
      <w:pPr>
        <w:pStyle w:val="K"/>
        <w:spacing w:line="232" w:lineRule="exact"/>
        <w:rPr>
          <w:rFonts w:ascii="Arial" w:hAnsi="Arial" w:cs="Arial"/>
          <w:b/>
          <w:sz w:val="20"/>
          <w:szCs w:val="20"/>
          <w:lang w:val="en-US"/>
        </w:rPr>
      </w:pPr>
    </w:p>
    <w:p w:rsidR="00817345" w:rsidRPr="00977E8C" w:rsidRDefault="00817345" w:rsidP="006F0AA9">
      <w:pPr>
        <w:pStyle w:val="K"/>
        <w:spacing w:before="129" w:line="64" w:lineRule="exact"/>
        <w:rPr>
          <w:rFonts w:ascii="Arial" w:hAnsi="Arial" w:cs="Arial"/>
          <w:b/>
          <w:i/>
          <w:sz w:val="20"/>
          <w:szCs w:val="20"/>
          <w:lang w:val="en-US"/>
        </w:rPr>
      </w:pPr>
    </w:p>
    <w:p w:rsidR="00817345" w:rsidRPr="00977E8C" w:rsidRDefault="00817345" w:rsidP="00817345">
      <w:pPr>
        <w:rPr>
          <w:lang w:val="en-US" w:eastAsia="en-US"/>
        </w:rPr>
      </w:pPr>
    </w:p>
    <w:p w:rsidR="00817345" w:rsidRPr="00977E8C" w:rsidRDefault="00817345" w:rsidP="00817345">
      <w:pPr>
        <w:rPr>
          <w:lang w:val="en-US" w:eastAsia="en-US"/>
        </w:rPr>
      </w:pPr>
    </w:p>
    <w:p w:rsidR="00817345" w:rsidRPr="00977E8C" w:rsidRDefault="00817345" w:rsidP="00817345">
      <w:pPr>
        <w:rPr>
          <w:lang w:val="en-US" w:eastAsia="en-US"/>
        </w:rPr>
      </w:pPr>
    </w:p>
    <w:p w:rsidR="00817345" w:rsidRPr="00977E8C" w:rsidRDefault="00817345" w:rsidP="00817345">
      <w:pPr>
        <w:rPr>
          <w:lang w:val="en-US" w:eastAsia="en-US"/>
        </w:rPr>
      </w:pPr>
    </w:p>
    <w:p w:rsidR="00817345" w:rsidRPr="00977E8C" w:rsidRDefault="00817345" w:rsidP="00817345">
      <w:pPr>
        <w:rPr>
          <w:lang w:val="en-US" w:eastAsia="en-US"/>
        </w:rPr>
      </w:pPr>
    </w:p>
    <w:p w:rsidR="00817345" w:rsidRPr="00977E8C" w:rsidRDefault="00817345" w:rsidP="00817345">
      <w:pPr>
        <w:rPr>
          <w:lang w:val="en-US" w:eastAsia="en-US"/>
        </w:rPr>
      </w:pPr>
    </w:p>
    <w:p w:rsidR="00817345" w:rsidRPr="00977E8C" w:rsidRDefault="00817345" w:rsidP="00817345">
      <w:pPr>
        <w:rPr>
          <w:lang w:val="en-US" w:eastAsia="en-US"/>
        </w:rPr>
      </w:pPr>
    </w:p>
    <w:p w:rsidR="00977E8C" w:rsidRPr="00977E8C" w:rsidRDefault="00977E8C" w:rsidP="00977E8C">
      <w:pPr>
        <w:pStyle w:val="Default"/>
        <w:rPr>
          <w:lang w:val="en-US"/>
        </w:rPr>
      </w:pPr>
    </w:p>
    <w:p w:rsidR="00977E8C" w:rsidRPr="00977E8C" w:rsidRDefault="00977E8C" w:rsidP="00977E8C">
      <w:pPr>
        <w:pStyle w:val="Default"/>
        <w:ind w:left="993" w:hanging="993"/>
        <w:jc w:val="both"/>
        <w:rPr>
          <w:rFonts w:asciiTheme="minorHAnsi" w:hAnsiTheme="minorHAnsi"/>
          <w:b/>
          <w:bCs/>
        </w:rPr>
      </w:pPr>
      <w:r w:rsidRPr="00977E8C">
        <w:rPr>
          <w:rFonts w:asciiTheme="minorHAnsi" w:hAnsiTheme="minorHAnsi"/>
          <w:b/>
          <w:u w:val="single"/>
        </w:rPr>
        <w:t>ΘΕΜΑ:</w:t>
      </w:r>
      <w:r w:rsidRPr="00977E8C">
        <w:rPr>
          <w:rFonts w:asciiTheme="minorHAnsi" w:hAnsiTheme="minorHAnsi"/>
        </w:rPr>
        <w:t xml:space="preserve"> </w:t>
      </w:r>
      <w:r w:rsidRPr="00977E8C">
        <w:rPr>
          <w:rFonts w:asciiTheme="minorHAnsi" w:hAnsiTheme="minorHAnsi"/>
          <w:b/>
          <w:bCs/>
        </w:rPr>
        <w:t xml:space="preserve">Έναρξη λειτουργίας διαδικτυακής εφαρμογής </w:t>
      </w:r>
      <w:r w:rsidRPr="00977E8C">
        <w:rPr>
          <w:rFonts w:asciiTheme="minorHAnsi" w:hAnsiTheme="minorHAnsi"/>
        </w:rPr>
        <w:t xml:space="preserve"> </w:t>
      </w:r>
      <w:r w:rsidRPr="00977E8C">
        <w:rPr>
          <w:rFonts w:asciiTheme="minorHAnsi" w:hAnsiTheme="minorHAnsi"/>
          <w:b/>
          <w:bCs/>
        </w:rPr>
        <w:t xml:space="preserve">«Σύστημα Μητρώου Εγγυήσεων Καταναλωτή» </w:t>
      </w:r>
    </w:p>
    <w:p w:rsidR="00977E8C" w:rsidRPr="00977E8C" w:rsidRDefault="00977E8C" w:rsidP="00977E8C">
      <w:pPr>
        <w:pStyle w:val="Default"/>
        <w:rPr>
          <w:rFonts w:asciiTheme="minorHAnsi" w:hAnsiTheme="minorHAnsi"/>
        </w:rPr>
      </w:pPr>
    </w:p>
    <w:p w:rsidR="00977E8C" w:rsidRPr="00BE07C7" w:rsidRDefault="00977E8C" w:rsidP="00977E8C">
      <w:pPr>
        <w:pStyle w:val="Default"/>
        <w:jc w:val="both"/>
        <w:rPr>
          <w:rFonts w:asciiTheme="minorHAnsi" w:hAnsiTheme="minorHAnsi"/>
        </w:rPr>
      </w:pPr>
      <w:r w:rsidRPr="00BE07C7">
        <w:rPr>
          <w:rFonts w:asciiTheme="minorHAnsi" w:hAnsiTheme="minorHAnsi"/>
          <w:b/>
          <w:bCs/>
          <w:iCs/>
        </w:rPr>
        <w:t xml:space="preserve">Η πλατφόρμα «Σύστημα Μητρώου Εγγυήσεων Καταναλωτή» έχει στόχο την αντιμετώπιση της διαφάνειας και του υγιούς ανταγωνισμού, στο θέμα των εγγυήσεων, των αγαθών και των υπηρεσιών που προσφέρονται στην αγορά από τις επιχειρήσεις. </w:t>
      </w:r>
    </w:p>
    <w:p w:rsidR="00977E8C" w:rsidRPr="00BE07C7" w:rsidRDefault="00977E8C" w:rsidP="00977E8C">
      <w:pPr>
        <w:pStyle w:val="Default"/>
        <w:jc w:val="both"/>
        <w:rPr>
          <w:rFonts w:asciiTheme="minorHAnsi" w:hAnsiTheme="minorHAnsi"/>
        </w:rPr>
      </w:pPr>
      <w:r w:rsidRPr="00BE07C7">
        <w:rPr>
          <w:rFonts w:asciiTheme="minorHAnsi" w:hAnsiTheme="minorHAnsi"/>
        </w:rPr>
        <w:t xml:space="preserve">Η ΚΕΕ, στο πλαίσιο του Εκτελεστικού Κανονισμού (ΕΕ) 2015/1051 της Επιτροπής, σχετικά με τους όρους άσκησης των λειτουργιών της πλατφόρμας ηλεκτρονικής επίλυσης διαφορών, τις λεπτομέρειες που αφορούν στο ηλεκτρονικό έντυπο καταγγελίας και στους όρους της συνεργασίας μεταξύ των σημείων επαφής που προβλέπονται στον κανονισμό (ΕΕ) αριθ. 524/2013 του Ευρωπαϊκού Κοινοβουλίου και του Συμβουλίου για την ηλεκτρονική επίλυση των καταναλωτικών διαφορών </w:t>
      </w:r>
    </w:p>
    <w:p w:rsidR="00977E8C" w:rsidRPr="00BE07C7" w:rsidRDefault="00977E8C" w:rsidP="00977E8C">
      <w:pPr>
        <w:pStyle w:val="Default"/>
        <w:jc w:val="both"/>
        <w:rPr>
          <w:rFonts w:asciiTheme="minorHAnsi" w:hAnsiTheme="minorHAnsi"/>
        </w:rPr>
      </w:pPr>
      <w:r w:rsidRPr="00BE07C7">
        <w:rPr>
          <w:rFonts w:asciiTheme="minorHAnsi" w:hAnsiTheme="minorHAnsi"/>
        </w:rPr>
        <w:t xml:space="preserve">(L 171/1/2.7.2015) (http://www.synigoroskatanaloti.gr/stk_lawEU.html), </w:t>
      </w:r>
    </w:p>
    <w:p w:rsidR="00977E8C" w:rsidRPr="00BE07C7" w:rsidRDefault="00977E8C" w:rsidP="00977E8C">
      <w:pPr>
        <w:pStyle w:val="Default"/>
        <w:jc w:val="both"/>
        <w:rPr>
          <w:rFonts w:asciiTheme="minorHAnsi" w:hAnsiTheme="minorHAnsi"/>
        </w:rPr>
      </w:pPr>
      <w:r w:rsidRPr="00BE07C7">
        <w:rPr>
          <w:rFonts w:asciiTheme="minorHAnsi" w:hAnsiTheme="minorHAnsi"/>
        </w:rPr>
        <w:t xml:space="preserve">καθώς επίσης και της συνεχούς αναβάθμισης των υπηρεσιών που προσφέρει στα Επιμελητήρια και κατ’ επέκταση στις επιχειρήσεις, δημιούργησε την </w:t>
      </w:r>
      <w:r w:rsidRPr="00BE07C7">
        <w:rPr>
          <w:rFonts w:asciiTheme="minorHAnsi" w:hAnsiTheme="minorHAnsi"/>
          <w:iCs/>
        </w:rPr>
        <w:t xml:space="preserve">πλατφόρμα «Σύστημα Μητρώου Εγγυήσεων Καταναλωτή», η οποία έχει στόχο την εφαρμογή της διαφάνειας και του υγιούς ανταγωνισμού στο θέμα των εγγυήσεων των αγαθών και των υπηρεσιών, που προσφέρονται στην αγορά από τις επιχειρήσεις. </w:t>
      </w:r>
    </w:p>
    <w:p w:rsidR="00977E8C" w:rsidRPr="00BE07C7" w:rsidRDefault="00977E8C" w:rsidP="00977E8C">
      <w:pPr>
        <w:pStyle w:val="Default"/>
        <w:jc w:val="both"/>
        <w:rPr>
          <w:rFonts w:asciiTheme="minorHAnsi" w:hAnsiTheme="minorHAnsi"/>
        </w:rPr>
      </w:pPr>
      <w:r w:rsidRPr="00BE07C7">
        <w:rPr>
          <w:rFonts w:asciiTheme="minorHAnsi" w:hAnsiTheme="minorHAnsi"/>
          <w:b/>
          <w:bCs/>
          <w:iCs/>
        </w:rPr>
        <w:t xml:space="preserve">Συγκεκριμένα η σημερινή κατάσταση έχει ως εξής: </w:t>
      </w:r>
    </w:p>
    <w:p w:rsidR="00977E8C" w:rsidRPr="00BE07C7" w:rsidRDefault="00977E8C" w:rsidP="00977E8C">
      <w:pPr>
        <w:pStyle w:val="Default"/>
        <w:jc w:val="both"/>
        <w:rPr>
          <w:rFonts w:asciiTheme="minorHAnsi" w:hAnsiTheme="minorHAnsi"/>
        </w:rPr>
      </w:pPr>
      <w:r w:rsidRPr="00BE07C7">
        <w:rPr>
          <w:rFonts w:asciiTheme="minorHAnsi" w:hAnsiTheme="minorHAnsi"/>
          <w:iCs/>
        </w:rPr>
        <w:t xml:space="preserve">Μέχρι σήμερα ο καταναλωτής ενημερώνεται για τις εγγυήσεις των αγαθών και των υπηρεσιών που αγοράζει, είτε προφορικά από τον πωλητή είτε γραπτά μέσα από τη συσκευασία (φυλλάδιο οδηγιών) του αγαθού, αφού το αγοράσει. </w:t>
      </w:r>
    </w:p>
    <w:p w:rsidR="00977E8C" w:rsidRPr="00BE07C7" w:rsidRDefault="00977E8C" w:rsidP="00977E8C">
      <w:pPr>
        <w:pStyle w:val="Default"/>
        <w:jc w:val="both"/>
        <w:rPr>
          <w:rFonts w:asciiTheme="minorHAnsi" w:hAnsiTheme="minorHAnsi"/>
          <w:iCs/>
        </w:rPr>
      </w:pPr>
      <w:r w:rsidRPr="00BE07C7">
        <w:rPr>
          <w:rFonts w:asciiTheme="minorHAnsi" w:hAnsiTheme="minorHAnsi"/>
          <w:iCs/>
        </w:rPr>
        <w:t xml:space="preserve">Σημειώνεται ότι σχετικά με τις παρεχόμενες εγγυήσεις στα αγαθά και στις υπηρεσίες που προσφέρονται στους καταναλωτές, υπάρχουν πολλές κοινοτικές οδηγίες - υποχρεώσεις από την Ευρωπαϊκή Ένωση, οι οποίες δεν είναι ευρέως γνωστές, με αποτέλεσμα ο καταναλωτής - μετά την αγορά του αγαθού ή της υπηρεσίας και σε περίπτωση που προκύψει κάποιο πρόβλημα - να μην μπορεί να διεκδικήσει την επιδιόρθωση ή την αντικατάσταση του ελαττωματικού αγαθού.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b/>
          <w:bCs/>
        </w:rPr>
      </w:pPr>
      <w:r w:rsidRPr="00977E8C">
        <w:rPr>
          <w:rFonts w:asciiTheme="minorHAnsi" w:hAnsiTheme="minorHAnsi"/>
          <w:b/>
          <w:bCs/>
        </w:rPr>
        <w:t xml:space="preserve">Για την αντιμετώπιση των παραπάνω η ΚΕΕ, ως ο κύριος φορέας εκπροσώπησης των επιχειρήσεων που είναι εγγεγραμμένες στο Γ.Ε.ΜΗ, υλοποίησε τον </w:t>
      </w:r>
      <w:proofErr w:type="spellStart"/>
      <w:r w:rsidRPr="00977E8C">
        <w:rPr>
          <w:rFonts w:asciiTheme="minorHAnsi" w:hAnsiTheme="minorHAnsi"/>
          <w:b/>
          <w:bCs/>
        </w:rPr>
        <w:t>ιστότοπο</w:t>
      </w:r>
      <w:proofErr w:type="spellEnd"/>
      <w:r w:rsidRPr="00977E8C">
        <w:rPr>
          <w:rFonts w:asciiTheme="minorHAnsi" w:hAnsiTheme="minorHAnsi"/>
          <w:b/>
          <w:bCs/>
        </w:rPr>
        <w:t xml:space="preserve"> http://warranty.uhc.gr/, με στόχο τη διαφάνεια στον ανταγωνισμό και την προστασία του καταναλωτή.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rPr>
      </w:pPr>
      <w:r w:rsidRPr="00977E8C">
        <w:rPr>
          <w:rFonts w:asciiTheme="minorHAnsi" w:hAnsiTheme="minorHAnsi"/>
          <w:b/>
          <w:bCs/>
          <w:i/>
          <w:iCs/>
        </w:rPr>
        <w:t xml:space="preserve">Προσφερόμενη υπηρεσία μέσα από την εφαρμογή </w:t>
      </w:r>
      <w:r w:rsidRPr="00977E8C">
        <w:rPr>
          <w:rFonts w:asciiTheme="minorHAnsi" w:hAnsiTheme="minorHAnsi"/>
          <w:b/>
          <w:bCs/>
        </w:rPr>
        <w:t xml:space="preserve">«Σύστημα Μητρώου Εγγυήσεων Καταναλωτή» </w:t>
      </w:r>
    </w:p>
    <w:p w:rsidR="00977E8C" w:rsidRPr="00977E8C" w:rsidRDefault="00977E8C" w:rsidP="00977E8C">
      <w:pPr>
        <w:pStyle w:val="Default"/>
        <w:jc w:val="both"/>
        <w:rPr>
          <w:rFonts w:asciiTheme="minorHAnsi" w:hAnsiTheme="minorHAnsi"/>
        </w:rPr>
      </w:pPr>
      <w:r w:rsidRPr="00977E8C">
        <w:rPr>
          <w:rFonts w:asciiTheme="minorHAnsi" w:hAnsiTheme="minorHAnsi"/>
        </w:rPr>
        <w:t xml:space="preserve">Η υπηρεσία, έχει ως στόχο το κύρος των επιχειρήσεων, το όφελος των καταναλωτών, αλλά και συνολικά την καλή λειτουργία της αγοράς ως προς τη διαφάνεια των </w:t>
      </w:r>
      <w:proofErr w:type="spellStart"/>
      <w:r w:rsidRPr="00977E8C">
        <w:rPr>
          <w:rFonts w:asciiTheme="minorHAnsi" w:hAnsiTheme="minorHAnsi"/>
        </w:rPr>
        <w:t>παρεχομένων</w:t>
      </w:r>
      <w:proofErr w:type="spellEnd"/>
      <w:r w:rsidRPr="00977E8C">
        <w:rPr>
          <w:rFonts w:asciiTheme="minorHAnsi" w:hAnsiTheme="minorHAnsi"/>
        </w:rPr>
        <w:t xml:space="preserve"> εγγυήσεων. </w:t>
      </w:r>
    </w:p>
    <w:p w:rsidR="00977E8C" w:rsidRPr="00977E8C" w:rsidRDefault="00977E8C" w:rsidP="00BE07C7">
      <w:pPr>
        <w:pStyle w:val="Default"/>
        <w:jc w:val="both"/>
        <w:rPr>
          <w:rFonts w:asciiTheme="minorHAnsi" w:hAnsiTheme="minorHAnsi"/>
        </w:rPr>
      </w:pPr>
      <w:r w:rsidRPr="00977E8C">
        <w:rPr>
          <w:rFonts w:asciiTheme="minorHAnsi" w:hAnsiTheme="minorHAnsi"/>
        </w:rPr>
        <w:t xml:space="preserve">Οι επιχειρήσεις, που δραστηριοποιούνται στην παραγωγή - εμπορία αγαθών και στην παροχή υπηρεσιών, θα μπορούν να εφαρμόσουν - προωθήσουν μια πολιτική διαφάνειας προς το </w:t>
      </w:r>
      <w:r w:rsidR="00BE07C7">
        <w:rPr>
          <w:rFonts w:asciiTheme="minorHAnsi" w:hAnsiTheme="minorHAnsi"/>
        </w:rPr>
        <w:t xml:space="preserve"> </w:t>
      </w:r>
      <w:r w:rsidRPr="00977E8C">
        <w:rPr>
          <w:rFonts w:asciiTheme="minorHAnsi" w:hAnsiTheme="minorHAnsi"/>
        </w:rPr>
        <w:t xml:space="preserve">καταναλωτικό κοινό, ως προς τις εγγυήσεις που παρέχουν για τα αγαθά - υπηρεσίες που προσφέρουν, αυξάνοντας τόσο το κύρος τους, αλλά και το πελατολόγιο τους. </w:t>
      </w:r>
    </w:p>
    <w:p w:rsidR="00977E8C" w:rsidRPr="00977E8C" w:rsidRDefault="00977E8C" w:rsidP="00977E8C">
      <w:pPr>
        <w:pStyle w:val="Default"/>
        <w:jc w:val="both"/>
        <w:rPr>
          <w:rFonts w:asciiTheme="minorHAnsi" w:hAnsiTheme="minorHAnsi"/>
        </w:rPr>
      </w:pPr>
      <w:r w:rsidRPr="00977E8C">
        <w:rPr>
          <w:rFonts w:asciiTheme="minorHAnsi" w:hAnsiTheme="minorHAnsi"/>
        </w:rPr>
        <w:t xml:space="preserve">Οι καταναλωτές θα μπορούν εύκολα και έγκυρα να βρίσκουν πληροφορίες σχετικά με τις εγγυήσεις των αγαθών - υπηρεσιών που τους προσφέρονται, μέσα από ένα συγκεκριμένο σημείο του διαδικτύου, με την υποστήριξη και το κύρος της ΚΕΕ και των Επιμελητηρίων-μελών της.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rPr>
      </w:pPr>
      <w:r w:rsidRPr="00977E8C">
        <w:rPr>
          <w:rFonts w:asciiTheme="minorHAnsi" w:hAnsiTheme="minorHAnsi" w:cs="Arial"/>
          <w:b/>
          <w:bCs/>
        </w:rPr>
        <w:t xml:space="preserve">- </w:t>
      </w:r>
      <w:r w:rsidRPr="00977E8C">
        <w:rPr>
          <w:rFonts w:asciiTheme="minorHAnsi" w:hAnsiTheme="minorHAnsi"/>
        </w:rPr>
        <w:t xml:space="preserve">Οι </w:t>
      </w:r>
      <w:r w:rsidRPr="00977E8C">
        <w:rPr>
          <w:rFonts w:asciiTheme="minorHAnsi" w:hAnsiTheme="minorHAnsi"/>
          <w:b/>
          <w:bCs/>
        </w:rPr>
        <w:t xml:space="preserve">επιχειρήσεις </w:t>
      </w:r>
      <w:r w:rsidRPr="00977E8C">
        <w:rPr>
          <w:rFonts w:asciiTheme="minorHAnsi" w:hAnsiTheme="minorHAnsi"/>
        </w:rPr>
        <w:t xml:space="preserve">που είναι εγγεγραμμένες στο Γενικό Εμπορικό Μητρώο και είναι ταμειακά ενήμερες στο Επιμελητηρίου που ανήκουν, θα έχουν τη δυνατότητα (μέσα από την πλατφόρμα «Σύστημα Μητρώου Εγγυήσεων Καταναλωτή») να αναρτούν πληροφορίες σχετικά με τις εγγυήσεις για τα αγαθά και τις υπηρεσίες που προσφέρουν στους καταναλωτές, ως προς τη διάρκεια, τον τρόπο υποστήριξης - συντήρησης - αντικατάστασης και όποια άλλη πληροφορία θεωρούν απαραίτητη. Έτσι οι επιχειρήσεις θα έχουν κίνητρο να αυξήσουν την ποιότητα των αγαθών ή των υπηρεσιών που προσφέρουν, μέσα από τη διαφάνεια των εγγυήσεων, αποβλέποντας έτσι στην αύξηση της εμπιστοσύνης των πελατών τους και στην προσέλκυση νέων πελατών.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rPr>
      </w:pPr>
      <w:r w:rsidRPr="00977E8C">
        <w:rPr>
          <w:rFonts w:asciiTheme="minorHAnsi" w:hAnsiTheme="minorHAnsi"/>
        </w:rPr>
        <w:t xml:space="preserve">Η επιχείρηση θα μπορεί να αποστέλλει μέσα από το «Σύστημα Μητρώου Εγγυήσεων Καταναλωτή» τη σχετική εγγύηση, που προσφέρεται με την πώληση ενός αγαθού / υπηρεσίας, απευθείας στο ηλεκτρονικό ταχυδρομείο του καταναλωτή.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rPr>
      </w:pPr>
      <w:r w:rsidRPr="00977E8C">
        <w:rPr>
          <w:rFonts w:asciiTheme="minorHAnsi" w:hAnsiTheme="minorHAnsi" w:cs="Arial"/>
          <w:b/>
          <w:bCs/>
        </w:rPr>
        <w:t xml:space="preserve">- </w:t>
      </w:r>
      <w:r w:rsidRPr="00977E8C">
        <w:rPr>
          <w:rFonts w:asciiTheme="minorHAnsi" w:hAnsiTheme="minorHAnsi"/>
        </w:rPr>
        <w:t xml:space="preserve">Οι </w:t>
      </w:r>
      <w:r w:rsidRPr="00977E8C">
        <w:rPr>
          <w:rFonts w:asciiTheme="minorHAnsi" w:hAnsiTheme="minorHAnsi"/>
          <w:b/>
          <w:bCs/>
        </w:rPr>
        <w:t xml:space="preserve">καταναλωτές </w:t>
      </w:r>
      <w:r w:rsidRPr="00977E8C">
        <w:rPr>
          <w:rFonts w:asciiTheme="minorHAnsi" w:hAnsiTheme="minorHAnsi"/>
        </w:rPr>
        <w:t xml:space="preserve">που επιθυμούν να πληροφορηθούν σχετικά με τις προσφερόμενες εγγυήσεις αγαθών ή υπηρεσιών που προσφέρονται από τις επιχειρήσεις, θα έχουν τη δυνατότητα (μέσα από την πλατφόρμα «Σύστημα Μητρώου Εγγυήσεων Καταναλωτή»), με εύκολο και έξυπνο τρόπο να τα αναζητούν, είτε με μέρος της περιγραφής του προϊόντος, είτε ως παρόμοιο, είτε ανά προμηθευτή, να τα φιλτράρουν στον τόπο διαμονής τους, ώστε να μπορούν να ενημερωθούν για τις εγγυήσεις που προσφέρονται, συγκριτικά ανά προμηθευτή, τις επεκτάσεις εγγυήσεων και άλλες χρήσιμες πληροφορίες.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jc w:val="both"/>
        <w:rPr>
          <w:rFonts w:asciiTheme="minorHAnsi" w:hAnsiTheme="minorHAnsi"/>
        </w:rPr>
      </w:pPr>
      <w:r w:rsidRPr="00977E8C">
        <w:rPr>
          <w:rFonts w:asciiTheme="minorHAnsi" w:hAnsiTheme="minorHAnsi"/>
        </w:rPr>
        <w:t xml:space="preserve">Επιπροσθέτως ο καταναλωτής θα μπορεί να ενημερώνεται για τις νομοθετικές διατάξεις που διέπουν το καθεστώς των εγγυήσεων αγαθών και υπηρεσιών. </w:t>
      </w:r>
    </w:p>
    <w:p w:rsidR="00977E8C" w:rsidRPr="00977E8C" w:rsidRDefault="00977E8C" w:rsidP="00977E8C">
      <w:pPr>
        <w:pStyle w:val="Default"/>
        <w:jc w:val="both"/>
        <w:rPr>
          <w:rFonts w:asciiTheme="minorHAnsi" w:hAnsiTheme="minorHAnsi"/>
        </w:rPr>
      </w:pPr>
    </w:p>
    <w:p w:rsidR="00977E8C" w:rsidRPr="00977E8C" w:rsidRDefault="00977E8C" w:rsidP="00977E8C">
      <w:pPr>
        <w:pStyle w:val="Default"/>
        <w:numPr>
          <w:ilvl w:val="0"/>
          <w:numId w:val="12"/>
        </w:numPr>
        <w:jc w:val="both"/>
        <w:rPr>
          <w:rFonts w:asciiTheme="minorHAnsi" w:hAnsiTheme="minorHAnsi"/>
        </w:rPr>
      </w:pPr>
      <w:r w:rsidRPr="00977E8C">
        <w:rPr>
          <w:rFonts w:asciiTheme="minorHAnsi" w:hAnsiTheme="minorHAnsi"/>
          <w:b/>
          <w:bCs/>
        </w:rPr>
        <w:t xml:space="preserve">Έτσι οι επιχειρήσεις: </w:t>
      </w:r>
    </w:p>
    <w:p w:rsidR="00977E8C" w:rsidRPr="00977E8C" w:rsidRDefault="00977E8C" w:rsidP="00977E8C">
      <w:pPr>
        <w:pStyle w:val="Default"/>
        <w:jc w:val="both"/>
        <w:rPr>
          <w:rFonts w:asciiTheme="minorHAnsi" w:hAnsiTheme="minorHAnsi"/>
          <w:b/>
          <w:bCs/>
        </w:rPr>
      </w:pPr>
      <w:r w:rsidRPr="00977E8C">
        <w:rPr>
          <w:rFonts w:asciiTheme="minorHAnsi" w:hAnsiTheme="minorHAnsi"/>
          <w:b/>
          <w:bCs/>
        </w:rPr>
        <w:t xml:space="preserve">Έχουν κίνητρο να βελτιώσουν - αυξήσουν την ποιότητα των αγαθών ή υπηρεσιών που προσφέρουν, μέσα από τη διαφάνεια των εγγυήσεων, με στόχο να αυξήσουν την εμπιστοσύνη των πελατών τους και την προσέλκυση νέων πελατών. </w:t>
      </w:r>
    </w:p>
    <w:p w:rsidR="00977E8C" w:rsidRDefault="00977E8C" w:rsidP="00977E8C">
      <w:pPr>
        <w:pStyle w:val="Default"/>
        <w:jc w:val="both"/>
        <w:rPr>
          <w:rFonts w:asciiTheme="minorHAnsi" w:hAnsiTheme="minorHAnsi"/>
        </w:rPr>
      </w:pPr>
    </w:p>
    <w:p w:rsidR="00977E8C" w:rsidRPr="00977E8C" w:rsidRDefault="00977E8C" w:rsidP="00977E8C">
      <w:pPr>
        <w:pStyle w:val="Default"/>
        <w:numPr>
          <w:ilvl w:val="0"/>
          <w:numId w:val="12"/>
        </w:numPr>
        <w:jc w:val="both"/>
        <w:rPr>
          <w:rFonts w:asciiTheme="minorHAnsi" w:hAnsiTheme="minorHAnsi"/>
        </w:rPr>
      </w:pPr>
      <w:r w:rsidRPr="00977E8C">
        <w:rPr>
          <w:rFonts w:asciiTheme="minorHAnsi" w:hAnsiTheme="minorHAnsi"/>
          <w:b/>
          <w:bCs/>
        </w:rPr>
        <w:t xml:space="preserve">Έτσι οι καταναλωτές: </w:t>
      </w:r>
    </w:p>
    <w:p w:rsidR="00977E8C" w:rsidRPr="00977E8C" w:rsidRDefault="00977E8C" w:rsidP="00977E8C">
      <w:pPr>
        <w:pStyle w:val="Default"/>
        <w:jc w:val="both"/>
        <w:rPr>
          <w:rFonts w:asciiTheme="minorHAnsi" w:hAnsiTheme="minorHAnsi"/>
        </w:rPr>
      </w:pPr>
      <w:r w:rsidRPr="00977E8C">
        <w:rPr>
          <w:rFonts w:asciiTheme="minorHAnsi" w:hAnsiTheme="minorHAnsi"/>
          <w:b/>
          <w:bCs/>
        </w:rPr>
        <w:t xml:space="preserve">Μπορούν αφενός να πληροφορηθούν για τις εγγυήσεις των αγαθών και υπηρεσιών που προσφέρουν οι επιχειρήσεις, ανά είδος ή ομάδα ειδών, και αφετέρου να πληροφορηθούν σχετικά με τους νόμους που διέπουν το καθεστώς των εγγυήσεων. </w:t>
      </w:r>
    </w:p>
    <w:p w:rsidR="00E078B9" w:rsidRDefault="00977E8C" w:rsidP="00977E8C">
      <w:pPr>
        <w:jc w:val="both"/>
        <w:rPr>
          <w:rFonts w:asciiTheme="minorHAnsi" w:hAnsiTheme="minorHAnsi"/>
        </w:rPr>
      </w:pPr>
      <w:r w:rsidRPr="00977E8C">
        <w:rPr>
          <w:rFonts w:asciiTheme="minorHAnsi" w:hAnsiTheme="minorHAnsi"/>
        </w:rPr>
        <w:t>Για την εξυπηρέτηση των ενδιαφερομένων που επιθυμούν να λάβουν οποιαδήποτε πληροφορία, εμφανίζεται σχετικό εικονίδιο (</w:t>
      </w:r>
      <w:proofErr w:type="spellStart"/>
      <w:r w:rsidRPr="00977E8C">
        <w:rPr>
          <w:rFonts w:asciiTheme="minorHAnsi" w:hAnsiTheme="minorHAnsi"/>
        </w:rPr>
        <w:t>banner</w:t>
      </w:r>
      <w:proofErr w:type="spellEnd"/>
      <w:r w:rsidRPr="00977E8C">
        <w:rPr>
          <w:rFonts w:asciiTheme="minorHAnsi" w:hAnsiTheme="minorHAnsi"/>
        </w:rPr>
        <w:t xml:space="preserve">) στον </w:t>
      </w:r>
      <w:proofErr w:type="spellStart"/>
      <w:r w:rsidRPr="00977E8C">
        <w:rPr>
          <w:rFonts w:asciiTheme="minorHAnsi" w:hAnsiTheme="minorHAnsi"/>
        </w:rPr>
        <w:t>ιστότοπο</w:t>
      </w:r>
      <w:proofErr w:type="spellEnd"/>
      <w:r w:rsidRPr="00977E8C">
        <w:rPr>
          <w:rFonts w:asciiTheme="minorHAnsi" w:hAnsiTheme="minorHAnsi"/>
        </w:rPr>
        <w:t xml:space="preserve"> του Επιμελητηρίου</w:t>
      </w:r>
      <w:r w:rsidRPr="00977E8C">
        <w:rPr>
          <w:rFonts w:asciiTheme="minorHAnsi" w:hAnsiTheme="minorHAnsi"/>
        </w:rPr>
        <w:t xml:space="preserve"> Κέρκυρας </w:t>
      </w:r>
      <w:r w:rsidRPr="00977E8C">
        <w:rPr>
          <w:rFonts w:asciiTheme="minorHAnsi" w:hAnsiTheme="minorHAnsi"/>
        </w:rPr>
        <w:t>(</w:t>
      </w:r>
      <w:hyperlink r:id="rId9" w:history="1">
        <w:r w:rsidRPr="00977E8C">
          <w:rPr>
            <w:rStyle w:val="-"/>
            <w:rFonts w:asciiTheme="minorHAnsi" w:hAnsiTheme="minorHAnsi"/>
          </w:rPr>
          <w:t>http://warranty.uhc.gr/</w:t>
        </w:r>
      </w:hyperlink>
      <w:r w:rsidRPr="00977E8C">
        <w:rPr>
          <w:rFonts w:asciiTheme="minorHAnsi" w:hAnsiTheme="minorHAnsi"/>
        </w:rPr>
        <w:t>).</w:t>
      </w:r>
    </w:p>
    <w:p w:rsidR="00BE07C7" w:rsidRDefault="00BE07C7" w:rsidP="00977E8C">
      <w:pPr>
        <w:jc w:val="both"/>
        <w:rPr>
          <w:rFonts w:asciiTheme="minorHAnsi" w:hAnsiTheme="minorHAnsi"/>
        </w:rPr>
      </w:pPr>
    </w:p>
    <w:p w:rsidR="00BE07C7" w:rsidRDefault="00BE07C7" w:rsidP="00977E8C">
      <w:pPr>
        <w:jc w:val="both"/>
        <w:rPr>
          <w:rFonts w:asciiTheme="minorHAnsi" w:hAnsiTheme="minorHAnsi"/>
        </w:rPr>
      </w:pPr>
    </w:p>
    <w:p w:rsidR="00977E8C" w:rsidRDefault="00977E8C" w:rsidP="00977E8C">
      <w:pPr>
        <w:jc w:val="both"/>
        <w:rPr>
          <w:rFonts w:asciiTheme="minorHAnsi" w:hAnsiTheme="minorHAnsi"/>
        </w:rPr>
      </w:pPr>
    </w:p>
    <w:p w:rsidR="00977E8C" w:rsidRPr="00977E8C" w:rsidRDefault="00977E8C" w:rsidP="00977E8C">
      <w:pPr>
        <w:jc w:val="center"/>
        <w:rPr>
          <w:rFonts w:asciiTheme="minorHAnsi" w:hAnsiTheme="minorHAnsi"/>
          <w:lang w:eastAsia="en-US"/>
        </w:rPr>
      </w:pPr>
      <w:r w:rsidRPr="00977E8C">
        <w:rPr>
          <w:rFonts w:asciiTheme="minorHAnsi" w:hAnsiTheme="minorHAnsi"/>
          <w:lang w:eastAsia="en-US"/>
        </w:rPr>
        <w:t>Με εκτίμηση</w:t>
      </w:r>
    </w:p>
    <w:p w:rsidR="00977E8C" w:rsidRPr="00977E8C" w:rsidRDefault="00977E8C" w:rsidP="00977E8C">
      <w:pPr>
        <w:jc w:val="center"/>
        <w:rPr>
          <w:rFonts w:asciiTheme="minorHAnsi" w:hAnsiTheme="minorHAnsi"/>
          <w:lang w:eastAsia="en-US"/>
        </w:rPr>
      </w:pPr>
    </w:p>
    <w:p w:rsidR="00977E8C" w:rsidRPr="00977E8C" w:rsidRDefault="00977E8C" w:rsidP="00977E8C">
      <w:pPr>
        <w:jc w:val="center"/>
        <w:rPr>
          <w:rFonts w:asciiTheme="minorHAnsi" w:hAnsiTheme="minorHAnsi"/>
          <w:lang w:eastAsia="en-US"/>
        </w:rPr>
      </w:pPr>
    </w:p>
    <w:p w:rsidR="00977E8C" w:rsidRPr="00977E8C" w:rsidRDefault="00977E8C" w:rsidP="00977E8C">
      <w:pPr>
        <w:jc w:val="center"/>
        <w:rPr>
          <w:rFonts w:asciiTheme="minorHAnsi" w:hAnsiTheme="minorHAnsi"/>
          <w:lang w:eastAsia="en-US"/>
        </w:rPr>
      </w:pPr>
      <w:r w:rsidRPr="00977E8C">
        <w:rPr>
          <w:rFonts w:asciiTheme="minorHAnsi" w:hAnsiTheme="minorHAnsi"/>
          <w:lang w:eastAsia="en-US"/>
        </w:rPr>
        <w:t>Ο Πρόεδρος του Επιμελητηρίου Κέρκυρας</w:t>
      </w:r>
    </w:p>
    <w:p w:rsidR="00977E8C" w:rsidRPr="00977E8C" w:rsidRDefault="00977E8C" w:rsidP="00977E8C">
      <w:pPr>
        <w:jc w:val="center"/>
        <w:rPr>
          <w:rFonts w:asciiTheme="minorHAnsi" w:hAnsiTheme="minorHAnsi"/>
          <w:lang w:eastAsia="en-US"/>
        </w:rPr>
      </w:pPr>
      <w:r w:rsidRPr="00977E8C">
        <w:rPr>
          <w:rFonts w:asciiTheme="minorHAnsi" w:hAnsiTheme="minorHAnsi"/>
          <w:lang w:eastAsia="en-US"/>
        </w:rPr>
        <w:t>Γεώργιος Π. Χονδρογιάννης</w:t>
      </w:r>
      <w:bookmarkStart w:id="0" w:name="_GoBack"/>
      <w:bookmarkEnd w:id="0"/>
    </w:p>
    <w:sectPr w:rsidR="00977E8C" w:rsidRPr="00977E8C" w:rsidSect="00BE07C7">
      <w:headerReference w:type="even" r:id="rId10"/>
      <w:headerReference w:type="default" r:id="rId11"/>
      <w:footerReference w:type="default" r:id="rId12"/>
      <w:headerReference w:type="first" r:id="rId13"/>
      <w:type w:val="continuous"/>
      <w:pgSz w:w="11906" w:h="16838" w:code="9"/>
      <w:pgMar w:top="851" w:right="849" w:bottom="1276" w:left="993" w:header="709" w:footer="456" w:gutter="0"/>
      <w:cols w:space="41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91" w:rsidRDefault="00523191">
      <w:r>
        <w:separator/>
      </w:r>
    </w:p>
  </w:endnote>
  <w:endnote w:type="continuationSeparator" w:id="0">
    <w:p w:rsidR="00523191" w:rsidRDefault="0052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E2" w:rsidRPr="00C51783" w:rsidRDefault="001809E2" w:rsidP="000A7D71">
    <w:pPr>
      <w:pStyle w:val="a5"/>
      <w:jc w:val="center"/>
      <w:rPr>
        <w:rFonts w:ascii="Arial" w:hAnsi="Arial" w:cs="Arial"/>
        <w:sz w:val="16"/>
        <w:szCs w:val="16"/>
      </w:rPr>
    </w:pPr>
    <w:r w:rsidRPr="00C51783">
      <w:rPr>
        <w:rFonts w:ascii="Arial" w:hAnsi="Arial" w:cs="Arial"/>
        <w:sz w:val="16"/>
        <w:szCs w:val="16"/>
      </w:rPr>
      <w:t xml:space="preserve">ΑΡΙΣΤΟΤΕΛΟΥΣ 2 – Τ.Κ. 49100 ΚΕΡΚΥΡΑ – ΤΗΛ: 26610 39813 – </w:t>
    </w:r>
    <w:r w:rsidR="000A7D71" w:rsidRPr="00C51783">
      <w:rPr>
        <w:rFonts w:ascii="Arial" w:hAnsi="Arial" w:cs="Arial"/>
        <w:sz w:val="16"/>
        <w:szCs w:val="16"/>
      </w:rPr>
      <w:t>26610</w:t>
    </w:r>
    <w:r w:rsidRPr="00C51783">
      <w:rPr>
        <w:rFonts w:ascii="Arial" w:hAnsi="Arial" w:cs="Arial"/>
        <w:sz w:val="16"/>
        <w:szCs w:val="16"/>
      </w:rPr>
      <w:t xml:space="preserve">31998 – </w:t>
    </w:r>
    <w:r w:rsidR="000A7D71" w:rsidRPr="00C51783">
      <w:rPr>
        <w:rFonts w:ascii="Arial" w:hAnsi="Arial" w:cs="Arial"/>
        <w:sz w:val="16"/>
        <w:szCs w:val="16"/>
      </w:rPr>
      <w:t>26610</w:t>
    </w:r>
    <w:r w:rsidRPr="00C51783">
      <w:rPr>
        <w:rFonts w:ascii="Arial" w:hAnsi="Arial" w:cs="Arial"/>
        <w:sz w:val="16"/>
        <w:szCs w:val="16"/>
      </w:rPr>
      <w:t xml:space="preserve">39814 – </w:t>
    </w:r>
    <w:r w:rsidRPr="00C51783">
      <w:rPr>
        <w:rFonts w:ascii="Arial" w:hAnsi="Arial" w:cs="Arial"/>
        <w:sz w:val="16"/>
        <w:szCs w:val="16"/>
        <w:lang w:val="en-US"/>
      </w:rPr>
      <w:t>FAX</w:t>
    </w:r>
    <w:r w:rsidRPr="00C51783">
      <w:rPr>
        <w:rFonts w:ascii="Arial" w:hAnsi="Arial" w:cs="Arial"/>
        <w:sz w:val="16"/>
        <w:szCs w:val="16"/>
      </w:rPr>
      <w:t>: 26610  40088</w:t>
    </w:r>
  </w:p>
  <w:p w:rsidR="000A7D71" w:rsidRPr="00C51783" w:rsidRDefault="000A7D71" w:rsidP="000A7D71">
    <w:pPr>
      <w:pStyle w:val="a5"/>
      <w:jc w:val="center"/>
      <w:rPr>
        <w:rFonts w:ascii="Arial" w:hAnsi="Arial" w:cs="Arial"/>
        <w:sz w:val="16"/>
        <w:szCs w:val="16"/>
        <w:lang w:val="en-US"/>
      </w:rPr>
    </w:pPr>
    <w:r w:rsidRPr="00C51783">
      <w:rPr>
        <w:rFonts w:ascii="Arial" w:hAnsi="Arial" w:cs="Arial"/>
        <w:sz w:val="16"/>
        <w:szCs w:val="16"/>
        <w:lang w:val="en-US"/>
      </w:rPr>
      <w:t xml:space="preserve">Internet: </w:t>
    </w:r>
    <w:proofErr w:type="gramStart"/>
    <w:r w:rsidRPr="00C51783">
      <w:rPr>
        <w:rFonts w:ascii="Arial" w:hAnsi="Arial" w:cs="Arial"/>
        <w:sz w:val="16"/>
        <w:szCs w:val="16"/>
        <w:lang w:val="en-US"/>
      </w:rPr>
      <w:t>www.c</w:t>
    </w:r>
    <w:r w:rsidR="002203B1">
      <w:rPr>
        <w:rFonts w:ascii="Arial" w:hAnsi="Arial" w:cs="Arial"/>
        <w:sz w:val="16"/>
        <w:szCs w:val="16"/>
        <w:lang w:val="en-US"/>
      </w:rPr>
      <w:t>orfucci</w:t>
    </w:r>
    <w:r w:rsidRPr="00C51783">
      <w:rPr>
        <w:rFonts w:ascii="Arial" w:hAnsi="Arial" w:cs="Arial"/>
        <w:sz w:val="16"/>
        <w:szCs w:val="16"/>
        <w:lang w:val="en-US"/>
      </w:rPr>
      <w:t>.gr  e</w:t>
    </w:r>
    <w:proofErr w:type="gramEnd"/>
    <w:r w:rsidRPr="00C51783">
      <w:rPr>
        <w:rFonts w:ascii="Arial" w:hAnsi="Arial" w:cs="Arial"/>
        <w:sz w:val="16"/>
        <w:szCs w:val="16"/>
        <w:lang w:val="en-US"/>
      </w:rPr>
      <w:t xml:space="preserve">-mail: </w:t>
    </w:r>
    <w:smartTag w:uri="urn:schemas-microsoft-com:office:smarttags" w:element="PersonName">
      <w:r w:rsidRPr="00C51783">
        <w:rPr>
          <w:rFonts w:ascii="Arial" w:hAnsi="Arial" w:cs="Arial"/>
          <w:sz w:val="16"/>
          <w:szCs w:val="16"/>
          <w:lang w:val="en-US"/>
        </w:rPr>
        <w:t>corfucci@otenet.gr</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91" w:rsidRDefault="00523191">
      <w:r>
        <w:separator/>
      </w:r>
    </w:p>
  </w:footnote>
  <w:footnote w:type="continuationSeparator" w:id="0">
    <w:p w:rsidR="00523191" w:rsidRDefault="0052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52319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270pt;height:217.5pt;z-index:-251658752;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52319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270pt;height:217.5pt;z-index:-251657728;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B96" w:rsidRDefault="0052319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270pt;height:217.5pt;z-index:-251659776;mso-position-horizontal:center;mso-position-horizontal-relative:margin;mso-position-vertical:center;mso-position-vertical-relative:margin" wrapcoords="-60 0 -60 21526 21600 21526 21600 0 -60 0">
          <v:imagedata r:id="rId1" o:title="logo_top_yd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DB0"/>
    <w:multiLevelType w:val="hybridMultilevel"/>
    <w:tmpl w:val="FFFACC68"/>
    <w:lvl w:ilvl="0" w:tplc="04080011">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6155370"/>
    <w:multiLevelType w:val="hybridMultilevel"/>
    <w:tmpl w:val="7D4C4C9A"/>
    <w:lvl w:ilvl="0" w:tplc="67441B4E">
      <w:start w:val="1"/>
      <w:numFmt w:val="decimal"/>
      <w:lvlText w:val="%1."/>
      <w:lvlJc w:val="left"/>
      <w:pPr>
        <w:ind w:left="720" w:hanging="360"/>
      </w:pPr>
      <w:rPr>
        <w:rFonts w:cs="Times New Roman" w:hint="default"/>
        <w:sz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9571BC1"/>
    <w:multiLevelType w:val="hybridMultilevel"/>
    <w:tmpl w:val="C2F00C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1008E9"/>
    <w:multiLevelType w:val="hybridMultilevel"/>
    <w:tmpl w:val="FEEE9D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49C7711"/>
    <w:multiLevelType w:val="hybridMultilevel"/>
    <w:tmpl w:val="E8E685E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C3095A"/>
    <w:multiLevelType w:val="hybridMultilevel"/>
    <w:tmpl w:val="D41E1F80"/>
    <w:lvl w:ilvl="0" w:tplc="0408000F">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56303E3"/>
    <w:multiLevelType w:val="hybridMultilevel"/>
    <w:tmpl w:val="B2EEF4A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56204993"/>
    <w:multiLevelType w:val="hybridMultilevel"/>
    <w:tmpl w:val="B7024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16A5A58"/>
    <w:multiLevelType w:val="hybridMultilevel"/>
    <w:tmpl w:val="4B2409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2C85D05"/>
    <w:multiLevelType w:val="hybridMultilevel"/>
    <w:tmpl w:val="A030F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3E7865"/>
    <w:multiLevelType w:val="hybridMultilevel"/>
    <w:tmpl w:val="3B2C562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15:restartNumberingAfterBreak="0">
    <w:nsid w:val="77BA7441"/>
    <w:multiLevelType w:val="hybridMultilevel"/>
    <w:tmpl w:val="AABA0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8"/>
  </w:num>
  <w:num w:numId="5">
    <w:abstractNumId w:val="1"/>
  </w:num>
  <w:num w:numId="6">
    <w:abstractNumId w:val="0"/>
  </w:num>
  <w:num w:numId="7">
    <w:abstractNumId w:val="4"/>
  </w:num>
  <w:num w:numId="8">
    <w:abstractNumId w:val="1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8"/>
    <w:rsid w:val="000014A7"/>
    <w:rsid w:val="00016F9D"/>
    <w:rsid w:val="00017A05"/>
    <w:rsid w:val="0003688C"/>
    <w:rsid w:val="00042438"/>
    <w:rsid w:val="0004429C"/>
    <w:rsid w:val="0006148A"/>
    <w:rsid w:val="000623D8"/>
    <w:rsid w:val="000809C8"/>
    <w:rsid w:val="00084C98"/>
    <w:rsid w:val="000875B2"/>
    <w:rsid w:val="0009619A"/>
    <w:rsid w:val="000A7D71"/>
    <w:rsid w:val="000F015B"/>
    <w:rsid w:val="0010012A"/>
    <w:rsid w:val="00100812"/>
    <w:rsid w:val="001144B3"/>
    <w:rsid w:val="00122420"/>
    <w:rsid w:val="0013083C"/>
    <w:rsid w:val="0015282F"/>
    <w:rsid w:val="0015449B"/>
    <w:rsid w:val="001809E2"/>
    <w:rsid w:val="001A5D7C"/>
    <w:rsid w:val="001F2185"/>
    <w:rsid w:val="002203B1"/>
    <w:rsid w:val="00233BFA"/>
    <w:rsid w:val="0024052B"/>
    <w:rsid w:val="00251727"/>
    <w:rsid w:val="00254DFE"/>
    <w:rsid w:val="0029365E"/>
    <w:rsid w:val="002D13DE"/>
    <w:rsid w:val="002D6008"/>
    <w:rsid w:val="002E7349"/>
    <w:rsid w:val="002F704F"/>
    <w:rsid w:val="0031206A"/>
    <w:rsid w:val="0032522A"/>
    <w:rsid w:val="00347602"/>
    <w:rsid w:val="00371139"/>
    <w:rsid w:val="00391B7E"/>
    <w:rsid w:val="00394A62"/>
    <w:rsid w:val="003B3849"/>
    <w:rsid w:val="003B7142"/>
    <w:rsid w:val="00432A95"/>
    <w:rsid w:val="00441148"/>
    <w:rsid w:val="00470472"/>
    <w:rsid w:val="0047447C"/>
    <w:rsid w:val="00476583"/>
    <w:rsid w:val="00491615"/>
    <w:rsid w:val="004F1EE5"/>
    <w:rsid w:val="004F61E0"/>
    <w:rsid w:val="00523191"/>
    <w:rsid w:val="005418AA"/>
    <w:rsid w:val="005759DA"/>
    <w:rsid w:val="005924BC"/>
    <w:rsid w:val="005A08AC"/>
    <w:rsid w:val="005B440B"/>
    <w:rsid w:val="005D16E8"/>
    <w:rsid w:val="005D4DFF"/>
    <w:rsid w:val="00644EE1"/>
    <w:rsid w:val="00647355"/>
    <w:rsid w:val="00675590"/>
    <w:rsid w:val="00676166"/>
    <w:rsid w:val="006B4486"/>
    <w:rsid w:val="006C5A89"/>
    <w:rsid w:val="006D4B19"/>
    <w:rsid w:val="006E2533"/>
    <w:rsid w:val="006F0AA9"/>
    <w:rsid w:val="006F39FA"/>
    <w:rsid w:val="0072173B"/>
    <w:rsid w:val="0072453D"/>
    <w:rsid w:val="00737C15"/>
    <w:rsid w:val="00762C68"/>
    <w:rsid w:val="0078774A"/>
    <w:rsid w:val="007B533C"/>
    <w:rsid w:val="007B6AAF"/>
    <w:rsid w:val="007C1CA4"/>
    <w:rsid w:val="008000F8"/>
    <w:rsid w:val="008023DF"/>
    <w:rsid w:val="00817345"/>
    <w:rsid w:val="00823019"/>
    <w:rsid w:val="00837BCC"/>
    <w:rsid w:val="00845D6F"/>
    <w:rsid w:val="00862871"/>
    <w:rsid w:val="0086517E"/>
    <w:rsid w:val="00890E1F"/>
    <w:rsid w:val="008A1432"/>
    <w:rsid w:val="008A5498"/>
    <w:rsid w:val="008B54E2"/>
    <w:rsid w:val="008E34D8"/>
    <w:rsid w:val="008E7CA9"/>
    <w:rsid w:val="0093707F"/>
    <w:rsid w:val="0094522C"/>
    <w:rsid w:val="00965A58"/>
    <w:rsid w:val="00967C46"/>
    <w:rsid w:val="00977E8C"/>
    <w:rsid w:val="00997566"/>
    <w:rsid w:val="009B0F85"/>
    <w:rsid w:val="009C6758"/>
    <w:rsid w:val="009E2A4F"/>
    <w:rsid w:val="00A07C2D"/>
    <w:rsid w:val="00A43F76"/>
    <w:rsid w:val="00A67E60"/>
    <w:rsid w:val="00A93B8D"/>
    <w:rsid w:val="00AB1045"/>
    <w:rsid w:val="00AF3175"/>
    <w:rsid w:val="00B04D15"/>
    <w:rsid w:val="00B1314F"/>
    <w:rsid w:val="00B345B0"/>
    <w:rsid w:val="00B43776"/>
    <w:rsid w:val="00B611B6"/>
    <w:rsid w:val="00B820E1"/>
    <w:rsid w:val="00BC6EEE"/>
    <w:rsid w:val="00BD0F6D"/>
    <w:rsid w:val="00BE07C7"/>
    <w:rsid w:val="00C51783"/>
    <w:rsid w:val="00C63FB9"/>
    <w:rsid w:val="00C861FB"/>
    <w:rsid w:val="00CC3EE9"/>
    <w:rsid w:val="00CC614D"/>
    <w:rsid w:val="00CF7D35"/>
    <w:rsid w:val="00D11575"/>
    <w:rsid w:val="00D45B96"/>
    <w:rsid w:val="00D5685B"/>
    <w:rsid w:val="00DA1D50"/>
    <w:rsid w:val="00DA36C7"/>
    <w:rsid w:val="00DB0697"/>
    <w:rsid w:val="00DC7E1A"/>
    <w:rsid w:val="00DD7053"/>
    <w:rsid w:val="00E0369B"/>
    <w:rsid w:val="00E078B9"/>
    <w:rsid w:val="00E1068E"/>
    <w:rsid w:val="00E27663"/>
    <w:rsid w:val="00E35AA9"/>
    <w:rsid w:val="00EC5F92"/>
    <w:rsid w:val="00ED330B"/>
    <w:rsid w:val="00EF32F8"/>
    <w:rsid w:val="00F109CF"/>
    <w:rsid w:val="00F1714D"/>
    <w:rsid w:val="00F31DBD"/>
    <w:rsid w:val="00F61698"/>
    <w:rsid w:val="00F67591"/>
    <w:rsid w:val="00F716CF"/>
    <w:rsid w:val="00F73636"/>
    <w:rsid w:val="00F8358E"/>
    <w:rsid w:val="00FB1B5A"/>
    <w:rsid w:val="00FF36FA"/>
    <w:rsid w:val="00FF6A5E"/>
    <w:rsid w:val="00FF6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15:docId w15:val="{CC503BD8-413E-4337-8668-4E587F8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75"/>
    <w:rPr>
      <w:sz w:val="24"/>
      <w:szCs w:val="24"/>
    </w:rPr>
  </w:style>
  <w:style w:type="paragraph" w:styleId="2">
    <w:name w:val="heading 2"/>
    <w:basedOn w:val="a"/>
    <w:qFormat/>
    <w:rsid w:val="00D11575"/>
    <w:pPr>
      <w:spacing w:before="100" w:beforeAutospacing="1" w:after="100" w:afterAutospacing="1"/>
      <w:outlineLvl w:val="1"/>
    </w:pPr>
    <w:rPr>
      <w:rFonts w:ascii="Tahoma" w:hAnsi="Tahoma" w:cs="Tahoma"/>
      <w:b/>
      <w:bCs/>
      <w:color w:val="000000"/>
      <w:sz w:val="36"/>
      <w:szCs w:val="36"/>
    </w:rPr>
  </w:style>
  <w:style w:type="paragraph" w:styleId="3">
    <w:name w:val="heading 3"/>
    <w:basedOn w:val="a"/>
    <w:next w:val="a"/>
    <w:qFormat/>
    <w:rsid w:val="00EC5F92"/>
    <w:pPr>
      <w:keepNext/>
      <w:spacing w:before="240" w:after="60"/>
      <w:outlineLvl w:val="2"/>
    </w:pPr>
    <w:rPr>
      <w:rFonts w:ascii="Arial" w:hAnsi="Arial" w:cs="Arial"/>
      <w:b/>
      <w:bCs/>
      <w:sz w:val="26"/>
      <w:szCs w:val="26"/>
    </w:rPr>
  </w:style>
  <w:style w:type="paragraph" w:styleId="4">
    <w:name w:val="heading 4"/>
    <w:basedOn w:val="a"/>
    <w:next w:val="a"/>
    <w:qFormat/>
    <w:rsid w:val="00EC5F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C5F92"/>
    <w:rPr>
      <w:color w:val="0000FF"/>
      <w:u w:val="single"/>
    </w:rPr>
  </w:style>
  <w:style w:type="table" w:styleId="a3">
    <w:name w:val="Table Grid"/>
    <w:basedOn w:val="a1"/>
    <w:uiPriority w:val="59"/>
    <w:rsid w:val="0096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809E2"/>
    <w:pPr>
      <w:tabs>
        <w:tab w:val="center" w:pos="4153"/>
        <w:tab w:val="right" w:pos="8306"/>
      </w:tabs>
    </w:pPr>
  </w:style>
  <w:style w:type="paragraph" w:styleId="a5">
    <w:name w:val="footer"/>
    <w:basedOn w:val="a"/>
    <w:rsid w:val="001809E2"/>
    <w:pPr>
      <w:tabs>
        <w:tab w:val="center" w:pos="4153"/>
        <w:tab w:val="right" w:pos="8306"/>
      </w:tabs>
    </w:pPr>
  </w:style>
  <w:style w:type="paragraph" w:styleId="a6">
    <w:name w:val="Balloon Text"/>
    <w:basedOn w:val="a"/>
    <w:semiHidden/>
    <w:rsid w:val="00762C68"/>
    <w:rPr>
      <w:rFonts w:ascii="Tahoma" w:hAnsi="Tahoma" w:cs="Tahoma"/>
      <w:sz w:val="16"/>
      <w:szCs w:val="16"/>
    </w:rPr>
  </w:style>
  <w:style w:type="paragraph" w:customStyle="1" w:styleId="1">
    <w:name w:val="Παράγραφος λίστας1"/>
    <w:basedOn w:val="a"/>
    <w:rsid w:val="002E7349"/>
    <w:pPr>
      <w:spacing w:after="200" w:line="276" w:lineRule="auto"/>
      <w:ind w:left="720"/>
    </w:pPr>
    <w:rPr>
      <w:rFonts w:ascii="Calibri" w:hAnsi="Calibri"/>
      <w:sz w:val="22"/>
      <w:szCs w:val="22"/>
      <w:lang w:eastAsia="en-US"/>
    </w:rPr>
  </w:style>
  <w:style w:type="paragraph" w:customStyle="1" w:styleId="CharChar">
    <w:name w:val="Char Char"/>
    <w:basedOn w:val="a"/>
    <w:rsid w:val="007B6AAF"/>
    <w:pPr>
      <w:spacing w:after="160" w:line="240" w:lineRule="exact"/>
    </w:pPr>
    <w:rPr>
      <w:rFonts w:ascii="Verdana" w:hAnsi="Verdana"/>
      <w:sz w:val="20"/>
      <w:szCs w:val="20"/>
      <w:lang w:val="en-US" w:eastAsia="en-US"/>
    </w:rPr>
  </w:style>
  <w:style w:type="paragraph" w:customStyle="1" w:styleId="K">
    <w:name w:val="K·ÓÔÓÈÎ‹"/>
    <w:rsid w:val="00B1314F"/>
    <w:pPr>
      <w:widowControl w:val="0"/>
      <w:autoSpaceDE w:val="0"/>
      <w:autoSpaceDN w:val="0"/>
      <w:adjustRightInd w:val="0"/>
    </w:pPr>
    <w:rPr>
      <w:rFonts w:ascii="Helvetica" w:hAnsi="Helvetica"/>
      <w:color w:val="1A1919"/>
      <w:sz w:val="24"/>
      <w:szCs w:val="24"/>
      <w:lang w:eastAsia="en-US"/>
    </w:rPr>
  </w:style>
  <w:style w:type="paragraph" w:styleId="a7">
    <w:name w:val="List Paragraph"/>
    <w:basedOn w:val="a"/>
    <w:uiPriority w:val="34"/>
    <w:qFormat/>
    <w:rsid w:val="00B1314F"/>
    <w:pPr>
      <w:ind w:left="720"/>
      <w:contextualSpacing/>
    </w:pPr>
    <w:rPr>
      <w:sz w:val="20"/>
      <w:szCs w:val="20"/>
    </w:rPr>
  </w:style>
  <w:style w:type="paragraph" w:styleId="Web">
    <w:name w:val="Normal (Web)"/>
    <w:basedOn w:val="a"/>
    <w:uiPriority w:val="99"/>
    <w:unhideWhenUsed/>
    <w:rsid w:val="008A1432"/>
    <w:pPr>
      <w:spacing w:before="100" w:beforeAutospacing="1" w:after="100" w:afterAutospacing="1"/>
    </w:pPr>
  </w:style>
  <w:style w:type="paragraph" w:customStyle="1" w:styleId="Default">
    <w:name w:val="Default"/>
    <w:rsid w:val="00977E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arranty.uhc.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5E2C6-B5FC-4A67-9437-14D4B04B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cp:lastModifiedBy>
  <cp:revision>3</cp:revision>
  <cp:lastPrinted>2013-05-30T11:24:00Z</cp:lastPrinted>
  <dcterms:created xsi:type="dcterms:W3CDTF">2018-01-24T06:45:00Z</dcterms:created>
  <dcterms:modified xsi:type="dcterms:W3CDTF">2018-01-24T06:46:00Z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-574850290</vt:i4>
  </property>
  <property fmtid="{D5CDD505-2E9C-101B-9397-08002B2CF9AE}" pid="3" name="_EmailSubject">
    <vt:lpwstr/>
  </property>
  <property fmtid="{D5CDD505-2E9C-101B-9397-08002B2CF9AE}" pid="4" name="_AuthorEmail">
    <vt:lpwstr>corfucci@otenet.gr</vt:lpwstr>
  </property>
  <property fmtid="{D5CDD505-2E9C-101B-9397-08002B2CF9AE}" pid="5" name="_AuthorEmailDisplayName">
    <vt:lpwstr>chamber of corfu</vt:lpwstr>
  </property>
  <property fmtid="{D5CDD505-2E9C-101B-9397-08002B2CF9AE}" pid="6" name="_PreviousAdHocReviewCycleID">
    <vt:i4>-1934428149</vt:i4>
  </property>
  <property fmtid="{D5CDD505-2E9C-101B-9397-08002B2CF9AE}" pid="7" name="_ReviewingToolsShownOnce">
    <vt:lpwstr/>
  </property>
</Properties>
</file>