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B442" w14:textId="77777777" w:rsidR="009B516A" w:rsidRDefault="007A11B0">
      <w:bookmarkStart w:id="0" w:name="_GoBack"/>
      <w:bookmarkEnd w:id="0"/>
    </w:p>
    <w:p w14:paraId="0A5D5FA5" w14:textId="1CB9E46B" w:rsidR="00577CFD" w:rsidRDefault="00577CFD" w:rsidP="00577CFD">
      <w:pPr>
        <w:jc w:val="center"/>
        <w:rPr>
          <w:sz w:val="24"/>
          <w:szCs w:val="24"/>
        </w:rPr>
      </w:pPr>
      <w:r>
        <w:rPr>
          <w:rFonts w:ascii="Arial" w:eastAsia="Times New Roman" w:hAnsi="Arial" w:cs="Arial"/>
          <w:b/>
          <w:bCs/>
          <w:sz w:val="28"/>
          <w:szCs w:val="28"/>
          <w:lang w:eastAsia="el-GR"/>
        </w:rPr>
        <w:t>ΔΕΛΤΙΟ ΤΥΠΟΥ</w:t>
      </w:r>
    </w:p>
    <w:p w14:paraId="7A4A5F8C" w14:textId="1FB79823" w:rsidR="00577CFD" w:rsidRPr="00577CFD" w:rsidRDefault="00577CFD" w:rsidP="00577CFD">
      <w:pPr>
        <w:jc w:val="center"/>
        <w:rPr>
          <w:rFonts w:cstheme="minorHAnsi"/>
          <w:sz w:val="24"/>
          <w:szCs w:val="24"/>
        </w:rPr>
      </w:pPr>
      <w:r w:rsidRPr="00577CFD">
        <w:rPr>
          <w:rFonts w:eastAsia="Times New Roman" w:cstheme="minorHAnsi"/>
          <w:b/>
          <w:bCs/>
          <w:sz w:val="28"/>
          <w:szCs w:val="28"/>
          <w:lang w:eastAsia="el-GR"/>
        </w:rPr>
        <w:t xml:space="preserve">Προκήρυξη Δέσμης Δράσεων «Πράσινη Μετάβαση ΜμΕ» </w:t>
      </w:r>
    </w:p>
    <w:p w14:paraId="4E5F2713" w14:textId="2AA4A091" w:rsidR="00577CFD" w:rsidRPr="00577CFD" w:rsidRDefault="00577CFD" w:rsidP="00577CFD">
      <w:pPr>
        <w:jc w:val="both"/>
        <w:rPr>
          <w:rFonts w:eastAsia="Times New Roman" w:cstheme="minorHAnsi"/>
          <w:sz w:val="24"/>
          <w:szCs w:val="24"/>
          <w:lang w:eastAsia="el-GR"/>
        </w:rPr>
      </w:pPr>
      <w:r w:rsidRPr="00577CFD">
        <w:rPr>
          <w:rFonts w:eastAsia="Times New Roman" w:cstheme="minorHAnsi"/>
          <w:sz w:val="24"/>
          <w:szCs w:val="24"/>
          <w:lang w:eastAsia="el-GR"/>
        </w:rPr>
        <w:t>Προκηρύχθηκε</w:t>
      </w:r>
      <w:r w:rsidRPr="00577CFD">
        <w:rPr>
          <w:rFonts w:cstheme="minorHAnsi"/>
          <w:sz w:val="24"/>
          <w:szCs w:val="24"/>
        </w:rPr>
        <w:t xml:space="preserve">  η </w:t>
      </w:r>
      <w:r w:rsidRPr="00577CFD">
        <w:rPr>
          <w:rFonts w:eastAsia="Times New Roman" w:cstheme="minorHAnsi"/>
          <w:sz w:val="24"/>
          <w:szCs w:val="24"/>
          <w:lang w:eastAsia="el-GR"/>
        </w:rPr>
        <w:t xml:space="preserve">Δέσμη </w:t>
      </w:r>
      <w:r w:rsidRPr="00577CFD">
        <w:rPr>
          <w:rFonts w:eastAsia="Times New Roman" w:cstheme="minorHAnsi"/>
          <w:b/>
          <w:bCs/>
          <w:sz w:val="24"/>
          <w:szCs w:val="24"/>
          <w:lang w:eastAsia="el-GR"/>
        </w:rPr>
        <w:t>Δράσεων «Πράσινη Μετάβαση ΜμΕ»,</w:t>
      </w:r>
      <w:r w:rsidRPr="00577CFD">
        <w:rPr>
          <w:rFonts w:eastAsia="Times New Roman" w:cstheme="minorHAnsi"/>
          <w:sz w:val="24"/>
          <w:szCs w:val="24"/>
          <w:lang w:eastAsia="el-GR"/>
        </w:rPr>
        <w:t xml:space="preserve"> προϋπολογισμού 700.000.000 €,  η οποία ενθαρρύνει επενδυτικά σχέδια που στοχεύουν στην αξιοποίηση και ανάπτυξη συγχρόνων τεχνολογιών, στην αναβάθμιση των παραγόμενων προϊόντων ή/ και παρεχόμενων υπηρεσιών και εν γένει δραστηριοτήτων τους, πριμοδοτώντας ενέργειες οι οποίες αξιοποιούν σύγχρονες τεχνολογίες, υποδομές και βέλτιστες πρακτικές σε θέματα ενεργειακής αναβάθμισης, κυκλικής οικονομίας και υιοθέτησης καθαρών πηγών ενέργειας (π.χ. χρήση συστημάτων ΑΠΕ).  </w:t>
      </w:r>
    </w:p>
    <w:p w14:paraId="26E626E5" w14:textId="75704522" w:rsidR="00577CFD" w:rsidRPr="00577CFD" w:rsidRDefault="00577CFD" w:rsidP="00577CFD">
      <w:pPr>
        <w:jc w:val="both"/>
        <w:rPr>
          <w:rFonts w:eastAsia="Times New Roman" w:cstheme="minorHAnsi"/>
          <w:b/>
          <w:bCs/>
          <w:sz w:val="24"/>
          <w:szCs w:val="24"/>
          <w:lang w:eastAsia="el-GR"/>
        </w:rPr>
      </w:pPr>
      <w:r w:rsidRPr="00577CFD">
        <w:rPr>
          <w:rFonts w:eastAsia="Times New Roman" w:cstheme="minorHAnsi"/>
          <w:b/>
          <w:bCs/>
          <w:sz w:val="24"/>
          <w:szCs w:val="24"/>
          <w:lang w:eastAsia="el-GR"/>
        </w:rPr>
        <w:t>Η Δέσμη χωρίζεται σε δύο Δράσεις:</w:t>
      </w:r>
    </w:p>
    <w:p w14:paraId="666EE03A" w14:textId="5D576C2B"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Δράση 1:  Πράσινος Μετασχηματισμός ΜμΕ</w:t>
      </w:r>
      <w:r>
        <w:rPr>
          <w:rFonts w:eastAsia="Times New Roman" w:cstheme="minorHAnsi"/>
          <w:b/>
          <w:bCs/>
          <w:sz w:val="24"/>
          <w:szCs w:val="24"/>
          <w:lang w:eastAsia="el-GR"/>
        </w:rPr>
        <w:t xml:space="preserve"> </w:t>
      </w:r>
      <w:r w:rsidRPr="00577CFD">
        <w:rPr>
          <w:rFonts w:eastAsia="Times New Roman" w:cstheme="minorHAnsi"/>
          <w:b/>
          <w:bCs/>
          <w:sz w:val="24"/>
          <w:szCs w:val="24"/>
          <w:lang w:eastAsia="el-GR"/>
        </w:rPr>
        <w:t>:</w:t>
      </w:r>
      <w:r w:rsidRPr="00577CFD">
        <w:rPr>
          <w:rFonts w:eastAsia="Times New Roman" w:cstheme="minorHAnsi"/>
          <w:sz w:val="24"/>
          <w:szCs w:val="24"/>
          <w:lang w:eastAsia="el-GR"/>
        </w:rPr>
        <w:t xml:space="preserve"> αφορά επιχειρήσεις, οι οποίες απασχολούν τρείς (3) τουλάχιστον ΕΜΕ εξαρτημένης εργασίας κατά το ημερολογιακό έτος που προηγείται της υποβολής της αίτησης χρηματοδότησης.</w:t>
      </w:r>
    </w:p>
    <w:p w14:paraId="469D0463" w14:textId="77777777" w:rsidR="00577CFD" w:rsidRPr="00577CFD" w:rsidRDefault="00577CFD" w:rsidP="00577CFD">
      <w:pPr>
        <w:numPr>
          <w:ilvl w:val="0"/>
          <w:numId w:val="1"/>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Ποσοστό επιχορήγησης: έως 45% Το ποσοστό της επιχορήγησης δύναται να λάβει προσαύξηση 10%, εφόσον πραγματοποιηθούν και πιστοποιηθούν δαπάνες «Πράσινης Μετάβασης» GREEN σε ποσοστό τουλάχιστον 20% επί του συνολικού επιλέξιμου προϋπολογισμού του επενδυτικού σχεδίου κατά το στάδιο της τελικής επαλήθευσης.</w:t>
      </w:r>
    </w:p>
    <w:p w14:paraId="04F89D30" w14:textId="77777777" w:rsidR="00577CFD" w:rsidRDefault="00577CFD" w:rsidP="00194203">
      <w:pPr>
        <w:numPr>
          <w:ilvl w:val="0"/>
          <w:numId w:val="1"/>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Ο επιχορηγούμενος προϋπολογισμός του επενδυτικού σχεδίου μπορεί να είναι από 200.001€ έως και 1.000.000€</w:t>
      </w:r>
    </w:p>
    <w:p w14:paraId="66D2A5A3" w14:textId="2704FA07" w:rsidR="00577CFD" w:rsidRPr="00577CFD" w:rsidRDefault="00577CFD" w:rsidP="00577CFD">
      <w:pPr>
        <w:spacing w:after="0" w:line="240" w:lineRule="auto"/>
        <w:jc w:val="both"/>
        <w:rPr>
          <w:rFonts w:eastAsia="Times New Roman" w:cstheme="minorHAnsi"/>
          <w:sz w:val="24"/>
          <w:szCs w:val="24"/>
          <w:lang w:eastAsia="el-GR"/>
        </w:rPr>
      </w:pPr>
      <w:r w:rsidRPr="00577CFD">
        <w:rPr>
          <w:rFonts w:eastAsia="Times New Roman" w:cstheme="minorHAnsi"/>
          <w:sz w:val="24"/>
          <w:szCs w:val="24"/>
          <w:lang w:eastAsia="el-GR"/>
        </w:rPr>
        <w:t> </w:t>
      </w:r>
    </w:p>
    <w:p w14:paraId="3A295F18" w14:textId="18407768"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Δράση 2: Πράσινη Παραγωγική Επένδυση ΜμΕ</w:t>
      </w:r>
      <w:r>
        <w:rPr>
          <w:rFonts w:cstheme="minorHAnsi"/>
          <w:sz w:val="24"/>
          <w:szCs w:val="24"/>
        </w:rPr>
        <w:t xml:space="preserve"> </w:t>
      </w:r>
      <w:r w:rsidRPr="00577CFD">
        <w:rPr>
          <w:rFonts w:eastAsia="Times New Roman" w:cstheme="minorHAnsi"/>
          <w:sz w:val="24"/>
          <w:szCs w:val="24"/>
          <w:lang w:eastAsia="el-GR"/>
        </w:rPr>
        <w:t>: αφορά επιχειρήσεις, οι οποίες απασχολούν δύο (2) τουλάχιστον ΕΜΕ εξαρτημένης εργασίας κατά το ημερολογιακό έτος που προηγείται της υποβολής της αίτησης χρηματοδότησης.</w:t>
      </w:r>
    </w:p>
    <w:p w14:paraId="6031DF61" w14:textId="77777777" w:rsidR="00577CFD" w:rsidRPr="00577CFD" w:rsidRDefault="00577CFD" w:rsidP="00577CFD">
      <w:pPr>
        <w:numPr>
          <w:ilvl w:val="0"/>
          <w:numId w:val="2"/>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Ποσοστό επιχορήγησης: έως 40% Το ποσοστό της επιχορήγησης δύναται να λάβει προσαύξηση 10%, εφόσον πραγματοποιηθούν και πιστοποιηθούν δαπάνες «Πράσινης Μετάβασης» GREEN σε ποσοστό τουλάχιστον 20% επί του συνολικού επιλέξιμου προϋπολογισμού του επενδυτικού σχεδίου κατά το στάδιο της τελικής επαλήθευσης.</w:t>
      </w:r>
    </w:p>
    <w:p w14:paraId="745366E6" w14:textId="77777777" w:rsidR="00577CFD" w:rsidRPr="00577CFD" w:rsidRDefault="00577CFD" w:rsidP="00577CFD">
      <w:pPr>
        <w:numPr>
          <w:ilvl w:val="0"/>
          <w:numId w:val="2"/>
        </w:numPr>
        <w:spacing w:after="0" w:line="240" w:lineRule="auto"/>
        <w:ind w:firstLine="0"/>
        <w:jc w:val="both"/>
        <w:rPr>
          <w:rFonts w:eastAsia="Times New Roman" w:cstheme="minorHAnsi"/>
          <w:sz w:val="24"/>
          <w:szCs w:val="24"/>
          <w:lang w:eastAsia="el-GR"/>
        </w:rPr>
      </w:pPr>
      <w:r w:rsidRPr="00577CFD">
        <w:rPr>
          <w:rFonts w:eastAsia="Times New Roman" w:cstheme="minorHAnsi"/>
          <w:sz w:val="24"/>
          <w:szCs w:val="24"/>
          <w:lang w:eastAsia="el-GR"/>
        </w:rPr>
        <w:t>Ο επιχορηγούμενος προϋπολογισμός του επενδυτικού σχεδίου μπορεί να είναι από 30.000€ έως και 200.000€</w:t>
      </w:r>
    </w:p>
    <w:p w14:paraId="3E9F7D84" w14:textId="77777777" w:rsidR="00577CFD" w:rsidRPr="00577CFD" w:rsidRDefault="00577CFD" w:rsidP="00577CFD">
      <w:pPr>
        <w:ind w:left="720"/>
        <w:jc w:val="both"/>
        <w:rPr>
          <w:rFonts w:eastAsia="Times New Roman" w:cstheme="minorHAnsi"/>
          <w:sz w:val="24"/>
          <w:szCs w:val="24"/>
          <w:lang w:eastAsia="el-GR"/>
        </w:rPr>
      </w:pPr>
    </w:p>
    <w:p w14:paraId="7A542C17" w14:textId="50B2E838" w:rsidR="00577CFD" w:rsidRPr="00577CFD" w:rsidRDefault="00577CFD" w:rsidP="00577CFD">
      <w:pPr>
        <w:jc w:val="both"/>
        <w:rPr>
          <w:rFonts w:eastAsia="Times New Roman" w:cstheme="minorHAnsi"/>
          <w:sz w:val="24"/>
          <w:szCs w:val="24"/>
          <w:lang w:eastAsia="el-GR"/>
        </w:rPr>
      </w:pPr>
      <w:r w:rsidRPr="00577CFD">
        <w:rPr>
          <w:rFonts w:eastAsia="Times New Roman" w:cstheme="minorHAnsi"/>
          <w:sz w:val="24"/>
          <w:szCs w:val="24"/>
          <w:lang w:eastAsia="el-GR"/>
        </w:rPr>
        <w:t xml:space="preserve">Η Δέσμη Δράσεων </w:t>
      </w:r>
      <w:r w:rsidRPr="00577CFD">
        <w:rPr>
          <w:rFonts w:eastAsia="Times New Roman" w:cstheme="minorHAnsi"/>
          <w:b/>
          <w:bCs/>
          <w:sz w:val="24"/>
          <w:szCs w:val="24"/>
          <w:lang w:eastAsia="el-GR"/>
        </w:rPr>
        <w:t>«Πράσινη Μετάβαση ΜμΕ»</w:t>
      </w:r>
      <w:r w:rsidRPr="00577CFD">
        <w:rPr>
          <w:rFonts w:eastAsia="Times New Roman" w:cstheme="minorHAnsi"/>
          <w:sz w:val="24"/>
          <w:szCs w:val="24"/>
          <w:lang w:eastAsia="el-GR"/>
        </w:rPr>
        <w:t xml:space="preserve"> συγχρηματοδοτείται από το Ευρωπαϊκό Ταμείο Περιφερειακής Ανάπτυξης (ΕΤΠΑ) της Ευρωπαϊκής Ένωσης και από Εθνική Συμμετοχή.</w:t>
      </w:r>
    </w:p>
    <w:p w14:paraId="62D155C4" w14:textId="7A838581"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Ημερομηνία έναρξης υποβολών: Τετάρτη 22/03/2023 και ώρα 12:00</w:t>
      </w:r>
    </w:p>
    <w:p w14:paraId="4FA0D3FF" w14:textId="22A5ABEA" w:rsidR="00577CFD" w:rsidRPr="00577CFD" w:rsidRDefault="00577CFD" w:rsidP="00577CFD">
      <w:pPr>
        <w:jc w:val="both"/>
        <w:rPr>
          <w:rFonts w:eastAsia="Times New Roman" w:cstheme="minorHAnsi"/>
          <w:sz w:val="24"/>
          <w:szCs w:val="24"/>
          <w:lang w:eastAsia="el-GR"/>
        </w:rPr>
      </w:pPr>
      <w:r w:rsidRPr="00577CFD">
        <w:rPr>
          <w:rFonts w:eastAsia="Times New Roman" w:cstheme="minorHAnsi"/>
          <w:b/>
          <w:bCs/>
          <w:sz w:val="24"/>
          <w:szCs w:val="24"/>
          <w:lang w:eastAsia="el-GR"/>
        </w:rPr>
        <w:t>Οι Δράσεις θα παραμείνουν ανοικτές μέχρι εξαντλήσεως του Προϋπολογισμού.</w:t>
      </w:r>
    </w:p>
    <w:p w14:paraId="67F1C722" w14:textId="77777777" w:rsidR="00577CFD" w:rsidRPr="00577CFD" w:rsidRDefault="00577CFD" w:rsidP="00577CFD">
      <w:pPr>
        <w:jc w:val="both"/>
        <w:rPr>
          <w:rFonts w:eastAsia="Times New Roman" w:cstheme="minorHAnsi"/>
          <w:sz w:val="24"/>
          <w:szCs w:val="24"/>
          <w:lang w:eastAsia="el-GR"/>
        </w:rPr>
      </w:pPr>
      <w:r w:rsidRPr="00577CFD">
        <w:rPr>
          <w:rFonts w:eastAsia="Times New Roman" w:cstheme="minorHAnsi"/>
          <w:sz w:val="24"/>
          <w:szCs w:val="24"/>
          <w:lang w:eastAsia="el-GR"/>
        </w:rPr>
        <w:t>Οι αιτήσεις χρηματοδότησης θα αξιολογηθούν με σειρά προτεραιότητας, σύμφωνα με την ημερομηνία και ώρα οριστικής ηλεκτρονικής υποβολής στο OΠΣΚΕ.</w:t>
      </w:r>
    </w:p>
    <w:p w14:paraId="417159F7" w14:textId="77777777" w:rsidR="00577CFD" w:rsidRPr="00577CFD" w:rsidRDefault="00577CFD" w:rsidP="00577CFD">
      <w:pPr>
        <w:jc w:val="both"/>
        <w:rPr>
          <w:rFonts w:eastAsia="Times New Roman" w:cstheme="minorHAnsi"/>
          <w:sz w:val="24"/>
          <w:szCs w:val="24"/>
          <w:lang w:eastAsia="el-GR"/>
        </w:rPr>
      </w:pPr>
    </w:p>
    <w:p w14:paraId="2F1726D6" w14:textId="2C732D14" w:rsidR="00BF496E" w:rsidRPr="00577CFD" w:rsidRDefault="007A11B0" w:rsidP="00577CFD">
      <w:pPr>
        <w:jc w:val="both"/>
        <w:rPr>
          <w:rFonts w:cstheme="minorHAnsi"/>
          <w:sz w:val="24"/>
          <w:szCs w:val="24"/>
        </w:rPr>
      </w:pPr>
      <w:hyperlink r:id="rId7" w:history="1">
        <w:r w:rsidR="00577CFD" w:rsidRPr="00577CFD">
          <w:rPr>
            <w:rStyle w:val="-"/>
            <w:rFonts w:eastAsia="Times New Roman" w:cstheme="minorHAnsi"/>
            <w:b/>
            <w:bCs/>
            <w:sz w:val="24"/>
            <w:szCs w:val="24"/>
            <w:lang w:eastAsia="el-GR"/>
          </w:rPr>
          <w:t>Δείτε τις προκηρύξεις των Δράσεων εδώ</w:t>
        </w:r>
      </w:hyperlink>
      <w:r w:rsidR="00577CFD" w:rsidRPr="00577CFD">
        <w:rPr>
          <w:rFonts w:eastAsia="Times New Roman" w:cstheme="minorHAnsi"/>
          <w:b/>
          <w:bCs/>
          <w:sz w:val="24"/>
          <w:szCs w:val="24"/>
          <w:lang w:eastAsia="el-GR"/>
        </w:rPr>
        <w:t xml:space="preserve"> </w:t>
      </w:r>
    </w:p>
    <w:p w14:paraId="2639B7EF" w14:textId="77777777" w:rsidR="00BF496E" w:rsidRDefault="00BF496E"/>
    <w:p w14:paraId="0F521DA6" w14:textId="77777777" w:rsidR="00BF496E" w:rsidRDefault="00BF496E"/>
    <w:sectPr w:rsidR="00BF496E" w:rsidSect="00577CF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C3BA" w14:textId="77777777" w:rsidR="007A11B0" w:rsidRDefault="007A11B0" w:rsidP="00BF496E">
      <w:pPr>
        <w:spacing w:after="0" w:line="240" w:lineRule="auto"/>
      </w:pPr>
      <w:r>
        <w:separator/>
      </w:r>
    </w:p>
  </w:endnote>
  <w:endnote w:type="continuationSeparator" w:id="0">
    <w:p w14:paraId="3C37B33A" w14:textId="77777777" w:rsidR="007A11B0" w:rsidRDefault="007A11B0" w:rsidP="00B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7420" w14:textId="4500B15A" w:rsidR="00BF496E" w:rsidRDefault="00577CFD" w:rsidP="00AE755F">
    <w:pPr>
      <w:pStyle w:val="a4"/>
      <w:tabs>
        <w:tab w:val="clear" w:pos="8306"/>
      </w:tabs>
    </w:pPr>
    <w:r>
      <w:rPr>
        <w:noProof/>
        <w:lang w:eastAsia="el-GR"/>
      </w:rPr>
      <w:drawing>
        <wp:anchor distT="0" distB="0" distL="114300" distR="114300" simplePos="0" relativeHeight="251671552" behindDoc="1" locked="0" layoutInCell="1" allowOverlap="1" wp14:anchorId="544E98D5" wp14:editId="46A0AA81">
          <wp:simplePos x="0" y="0"/>
          <wp:positionH relativeFrom="margin">
            <wp:align>left</wp:align>
          </wp:positionH>
          <wp:positionV relativeFrom="paragraph">
            <wp:posOffset>67945</wp:posOffset>
          </wp:positionV>
          <wp:extent cx="2286000" cy="479778"/>
          <wp:effectExtent l="0" t="0" r="0" b="0"/>
          <wp:wrapNone/>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286000" cy="479778"/>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70528" behindDoc="1" locked="0" layoutInCell="1" allowOverlap="1" wp14:anchorId="0DDBAC55" wp14:editId="31A0F738">
          <wp:simplePos x="0" y="0"/>
          <wp:positionH relativeFrom="margin">
            <wp:posOffset>2667000</wp:posOffset>
          </wp:positionH>
          <wp:positionV relativeFrom="paragraph">
            <wp:posOffset>79375</wp:posOffset>
          </wp:positionV>
          <wp:extent cx="1895475" cy="445706"/>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2">
                    <a:extLst>
                      <a:ext uri="{28A0092B-C50C-407E-A947-70E740481C1C}">
                        <a14:useLocalDpi xmlns:a14="http://schemas.microsoft.com/office/drawing/2010/main" val="0"/>
                      </a:ext>
                    </a:extLst>
                  </a:blip>
                  <a:stretch>
                    <a:fillRect/>
                  </a:stretch>
                </pic:blipFill>
                <pic:spPr>
                  <a:xfrm>
                    <a:off x="0" y="0"/>
                    <a:ext cx="1895475" cy="445706"/>
                  </a:xfrm>
                  <a:prstGeom prst="rect">
                    <a:avLst/>
                  </a:prstGeom>
                </pic:spPr>
              </pic:pic>
            </a:graphicData>
          </a:graphic>
          <wp14:sizeRelH relativeFrom="margin">
            <wp14:pctWidth>0</wp14:pctWidth>
          </wp14:sizeRelH>
          <wp14:sizeRelV relativeFrom="margin">
            <wp14:pctHeight>0</wp14:pctHeight>
          </wp14:sizeRelV>
        </wp:anchor>
      </w:drawing>
    </w:r>
    <w:r w:rsidRPr="00BF496E">
      <w:rPr>
        <w:noProof/>
        <w:lang w:eastAsia="el-GR"/>
      </w:rPr>
      <w:drawing>
        <wp:anchor distT="0" distB="0" distL="114300" distR="114300" simplePos="0" relativeHeight="251667456" behindDoc="0" locked="0" layoutInCell="1" allowOverlap="1" wp14:anchorId="03D22D0F" wp14:editId="4535D33A">
          <wp:simplePos x="0" y="0"/>
          <wp:positionH relativeFrom="margin">
            <wp:align>right</wp:align>
          </wp:positionH>
          <wp:positionV relativeFrom="paragraph">
            <wp:posOffset>1905</wp:posOffset>
          </wp:positionV>
          <wp:extent cx="1541145" cy="533400"/>
          <wp:effectExtent l="0" t="0" r="1905" b="0"/>
          <wp:wrapNone/>
          <wp:docPr id="484" name="Εικόνα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11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96E">
      <w:rPr>
        <w:noProof/>
        <w:lang w:eastAsia="el-GR"/>
      </w:rPr>
      <mc:AlternateContent>
        <mc:Choice Requires="wps">
          <w:drawing>
            <wp:anchor distT="0" distB="0" distL="114300" distR="114300" simplePos="0" relativeHeight="251668480" behindDoc="0" locked="0" layoutInCell="1" allowOverlap="1" wp14:anchorId="1E574EF9" wp14:editId="492F2B71">
              <wp:simplePos x="0" y="0"/>
              <wp:positionH relativeFrom="margin">
                <wp:align>center</wp:align>
              </wp:positionH>
              <wp:positionV relativeFrom="paragraph">
                <wp:posOffset>-31115</wp:posOffset>
              </wp:positionV>
              <wp:extent cx="7019925" cy="22225"/>
              <wp:effectExtent l="0" t="0" r="28575" b="34925"/>
              <wp:wrapNone/>
              <wp:docPr id="1" name="Ευθεία γραμμή σύνδεσης 1"/>
              <wp:cNvGraphicFramePr/>
              <a:graphic xmlns:a="http://schemas.openxmlformats.org/drawingml/2006/main">
                <a:graphicData uri="http://schemas.microsoft.com/office/word/2010/wordprocessingShape">
                  <wps:wsp>
                    <wps:cNvCnPr/>
                    <wps:spPr>
                      <a:xfrm>
                        <a:off x="0" y="0"/>
                        <a:ext cx="7019925"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EFC645" id="Ευθεία γραμμή σύνδεσης 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55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" strokecolor="#4472c4 [3204]" strokeweight=".5pt">
              <v:stroke joinstyle="miter"/>
              <w10:wrap anchorx="margin"/>
            </v:line>
          </w:pict>
        </mc:Fallback>
      </mc:AlternateContent>
    </w:r>
    <w:r w:rsidR="004E1F1F">
      <w:t xml:space="preserve">                                                     </w:t>
    </w:r>
    <w:r w:rsidR="00AE755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232F" w14:textId="77777777" w:rsidR="007A11B0" w:rsidRDefault="007A11B0" w:rsidP="00BF496E">
      <w:pPr>
        <w:spacing w:after="0" w:line="240" w:lineRule="auto"/>
      </w:pPr>
      <w:r>
        <w:separator/>
      </w:r>
    </w:p>
  </w:footnote>
  <w:footnote w:type="continuationSeparator" w:id="0">
    <w:p w14:paraId="1DA353E1" w14:textId="77777777" w:rsidR="007A11B0" w:rsidRDefault="007A11B0" w:rsidP="00BF4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73D51" w14:textId="67206CF4" w:rsidR="00BF496E" w:rsidRDefault="00B0528A">
    <w:pPr>
      <w:pStyle w:val="a3"/>
    </w:pPr>
    <w:r>
      <w:rPr>
        <w:noProof/>
        <w:lang w:eastAsia="el-GR"/>
      </w:rPr>
      <w:drawing>
        <wp:anchor distT="0" distB="0" distL="114300" distR="114300" simplePos="0" relativeHeight="251669504" behindDoc="1" locked="0" layoutInCell="1" allowOverlap="1" wp14:anchorId="2AF04069" wp14:editId="6D9A9352">
          <wp:simplePos x="0" y="0"/>
          <wp:positionH relativeFrom="margin">
            <wp:posOffset>-9525</wp:posOffset>
          </wp:positionH>
          <wp:positionV relativeFrom="paragraph">
            <wp:posOffset>-401954</wp:posOffset>
          </wp:positionV>
          <wp:extent cx="2162175" cy="838394"/>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ia_neo_site13.png"/>
                  <pic:cNvPicPr/>
                </pic:nvPicPr>
                <pic:blipFill>
                  <a:blip r:embed="rId1">
                    <a:extLst>
                      <a:ext uri="{28A0092B-C50C-407E-A947-70E740481C1C}">
                        <a14:useLocalDpi xmlns:a14="http://schemas.microsoft.com/office/drawing/2010/main" val="0"/>
                      </a:ext>
                    </a:extLst>
                  </a:blip>
                  <a:stretch>
                    <a:fillRect/>
                  </a:stretch>
                </pic:blipFill>
                <pic:spPr>
                  <a:xfrm>
                    <a:off x="0" y="0"/>
                    <a:ext cx="2185210" cy="8473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0149"/>
    <w:multiLevelType w:val="multilevel"/>
    <w:tmpl w:val="EDAEC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D16047"/>
    <w:multiLevelType w:val="multilevel"/>
    <w:tmpl w:val="7924D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6E"/>
    <w:rsid w:val="00086A84"/>
    <w:rsid w:val="000F11B2"/>
    <w:rsid w:val="001948A3"/>
    <w:rsid w:val="00277701"/>
    <w:rsid w:val="00381F1B"/>
    <w:rsid w:val="003C32D8"/>
    <w:rsid w:val="003C75F0"/>
    <w:rsid w:val="00420087"/>
    <w:rsid w:val="004D75BB"/>
    <w:rsid w:val="004E1F1F"/>
    <w:rsid w:val="00542ACF"/>
    <w:rsid w:val="00577CFD"/>
    <w:rsid w:val="006A7B53"/>
    <w:rsid w:val="006B7FDB"/>
    <w:rsid w:val="006F0EE1"/>
    <w:rsid w:val="0071606B"/>
    <w:rsid w:val="007A11B0"/>
    <w:rsid w:val="008140D3"/>
    <w:rsid w:val="0089363C"/>
    <w:rsid w:val="00A47052"/>
    <w:rsid w:val="00A6039A"/>
    <w:rsid w:val="00A95DB2"/>
    <w:rsid w:val="00AA1956"/>
    <w:rsid w:val="00AE755F"/>
    <w:rsid w:val="00AF6AB0"/>
    <w:rsid w:val="00B00AB4"/>
    <w:rsid w:val="00B03C21"/>
    <w:rsid w:val="00B0528A"/>
    <w:rsid w:val="00BF496E"/>
    <w:rsid w:val="00C5186D"/>
    <w:rsid w:val="00C5311C"/>
    <w:rsid w:val="00CF1FE6"/>
    <w:rsid w:val="00DC0C28"/>
    <w:rsid w:val="00F50011"/>
    <w:rsid w:val="00FC5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05DA1"/>
  <w15:chartTrackingRefBased/>
  <w15:docId w15:val="{E3F292A8-ADDE-4015-B6F1-32A848AC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96E"/>
    <w:pPr>
      <w:tabs>
        <w:tab w:val="center" w:pos="4153"/>
        <w:tab w:val="right" w:pos="8306"/>
      </w:tabs>
      <w:spacing w:after="0" w:line="240" w:lineRule="auto"/>
    </w:pPr>
  </w:style>
  <w:style w:type="character" w:customStyle="1" w:styleId="Char">
    <w:name w:val="Κεφαλίδα Char"/>
    <w:basedOn w:val="a0"/>
    <w:link w:val="a3"/>
    <w:uiPriority w:val="99"/>
    <w:rsid w:val="00BF496E"/>
  </w:style>
  <w:style w:type="paragraph" w:styleId="a4">
    <w:name w:val="footer"/>
    <w:basedOn w:val="a"/>
    <w:link w:val="Char0"/>
    <w:uiPriority w:val="99"/>
    <w:unhideWhenUsed/>
    <w:rsid w:val="00BF496E"/>
    <w:pPr>
      <w:tabs>
        <w:tab w:val="center" w:pos="4153"/>
        <w:tab w:val="right" w:pos="8306"/>
      </w:tabs>
      <w:spacing w:after="0" w:line="240" w:lineRule="auto"/>
    </w:pPr>
  </w:style>
  <w:style w:type="character" w:customStyle="1" w:styleId="Char0">
    <w:name w:val="Υποσέλιδο Char"/>
    <w:basedOn w:val="a0"/>
    <w:link w:val="a4"/>
    <w:uiPriority w:val="99"/>
    <w:rsid w:val="00BF496E"/>
  </w:style>
  <w:style w:type="character" w:styleId="-">
    <w:name w:val="Hyperlink"/>
    <w:basedOn w:val="a0"/>
    <w:uiPriority w:val="99"/>
    <w:unhideWhenUsed/>
    <w:rsid w:val="00577CFD"/>
    <w:rPr>
      <w:color w:val="0000FF"/>
      <w:u w:val="single"/>
    </w:rPr>
  </w:style>
  <w:style w:type="character" w:customStyle="1" w:styleId="UnresolvedMention">
    <w:name w:val="Unresolved Mention"/>
    <w:basedOn w:val="a0"/>
    <w:uiPriority w:val="99"/>
    <w:semiHidden/>
    <w:unhideWhenUsed/>
    <w:rsid w:val="00577CFD"/>
    <w:rPr>
      <w:color w:val="605E5C"/>
      <w:shd w:val="clear" w:color="auto" w:fill="E1DFDD"/>
    </w:rPr>
  </w:style>
  <w:style w:type="paragraph" w:styleId="a5">
    <w:name w:val="Balloon Text"/>
    <w:basedOn w:val="a"/>
    <w:link w:val="Char1"/>
    <w:uiPriority w:val="99"/>
    <w:semiHidden/>
    <w:unhideWhenUsed/>
    <w:rsid w:val="006B7FD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B7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27.antagonistikotita.gr/prasini-metabasi-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user</cp:lastModifiedBy>
  <cp:revision>2</cp:revision>
  <cp:lastPrinted>2023-03-07T09:55:00Z</cp:lastPrinted>
  <dcterms:created xsi:type="dcterms:W3CDTF">2023-03-07T09:55:00Z</dcterms:created>
  <dcterms:modified xsi:type="dcterms:W3CDTF">2023-03-07T09:55:00Z</dcterms:modified>
</cp:coreProperties>
</file>