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CE" w:rsidRPr="005E130F" w:rsidRDefault="00A45993" w:rsidP="005E130F">
      <w:pPr>
        <w:jc w:val="right"/>
        <w:rPr>
          <w:rFonts w:ascii="Arial" w:hAnsi="Arial" w:cs="Arial"/>
          <w:sz w:val="18"/>
          <w:szCs w:val="18"/>
        </w:rPr>
      </w:pPr>
      <w:r>
        <w:rPr>
          <w:rFonts w:ascii="Arial" w:hAnsi="Arial" w:cs="Arial"/>
          <w:sz w:val="18"/>
          <w:szCs w:val="18"/>
        </w:rPr>
        <w:t xml:space="preserve">Κέρκυρα </w:t>
      </w:r>
      <w:r w:rsidR="00FB4CF3">
        <w:rPr>
          <w:rFonts w:ascii="Arial" w:hAnsi="Arial" w:cs="Arial"/>
          <w:sz w:val="18"/>
          <w:szCs w:val="18"/>
        </w:rPr>
        <w:t>16</w:t>
      </w:r>
      <w:r w:rsidR="007C77E1">
        <w:rPr>
          <w:rFonts w:ascii="Arial" w:hAnsi="Arial" w:cs="Arial"/>
          <w:sz w:val="18"/>
          <w:szCs w:val="18"/>
        </w:rPr>
        <w:t>/10</w:t>
      </w:r>
      <w:r w:rsidR="00BD06FE">
        <w:rPr>
          <w:rFonts w:ascii="Arial" w:hAnsi="Arial" w:cs="Arial"/>
          <w:sz w:val="18"/>
          <w:szCs w:val="18"/>
        </w:rPr>
        <w:t>/2019</w:t>
      </w:r>
    </w:p>
    <w:p w:rsidR="007F69CA" w:rsidRDefault="007F69CA" w:rsidP="007F69CA">
      <w:pPr>
        <w:rPr>
          <w:rFonts w:asciiTheme="minorHAnsi" w:hAnsiTheme="minorHAnsi"/>
          <w:b/>
        </w:rPr>
      </w:pPr>
    </w:p>
    <w:p w:rsidR="00B06AA3" w:rsidRDefault="00B06AA3" w:rsidP="007F69CA">
      <w:pPr>
        <w:rPr>
          <w:rFonts w:asciiTheme="minorHAnsi" w:hAnsiTheme="minorHAnsi"/>
          <w:b/>
        </w:rPr>
      </w:pPr>
    </w:p>
    <w:p w:rsidR="00866C47" w:rsidRPr="0088720D" w:rsidRDefault="00020CCE" w:rsidP="00866C47">
      <w:pPr>
        <w:jc w:val="center"/>
        <w:rPr>
          <w:rFonts w:asciiTheme="minorHAnsi" w:hAnsiTheme="minorHAnsi"/>
          <w:b/>
        </w:rPr>
      </w:pPr>
      <w:r w:rsidRPr="0088720D">
        <w:rPr>
          <w:rFonts w:asciiTheme="minorHAnsi" w:hAnsiTheme="minorHAnsi"/>
          <w:b/>
        </w:rPr>
        <w:t>Δελτίο Τύπου</w:t>
      </w:r>
    </w:p>
    <w:p w:rsidR="00EA41FF" w:rsidRDefault="00FB4CF3" w:rsidP="00866C47">
      <w:pPr>
        <w:spacing w:after="160" w:line="259" w:lineRule="auto"/>
        <w:jc w:val="center"/>
        <w:rPr>
          <w:rFonts w:asciiTheme="minorHAnsi" w:hAnsiTheme="minorHAnsi"/>
          <w:b/>
        </w:rPr>
      </w:pPr>
      <w:r>
        <w:rPr>
          <w:rFonts w:asciiTheme="minorHAnsi" w:hAnsiTheme="minorHAnsi"/>
          <w:b/>
        </w:rPr>
        <w:t xml:space="preserve">Πορεία Υλοποίησης του Μεταφορικού Ισοδύναμου για </w:t>
      </w:r>
      <w:r w:rsidR="00866C47">
        <w:rPr>
          <w:rFonts w:asciiTheme="minorHAnsi" w:hAnsiTheme="minorHAnsi"/>
          <w:b/>
        </w:rPr>
        <w:t xml:space="preserve">επιβάτες και για </w:t>
      </w:r>
      <w:r>
        <w:rPr>
          <w:rFonts w:asciiTheme="minorHAnsi" w:hAnsiTheme="minorHAnsi"/>
          <w:b/>
        </w:rPr>
        <w:t>επιχειρήσεις</w:t>
      </w:r>
    </w:p>
    <w:p w:rsidR="007C77E1" w:rsidRDefault="007C77E1" w:rsidP="00A45993">
      <w:pPr>
        <w:spacing w:after="160" w:line="259" w:lineRule="auto"/>
        <w:jc w:val="center"/>
        <w:rPr>
          <w:rFonts w:asciiTheme="minorHAnsi" w:eastAsiaTheme="minorHAnsi" w:hAnsiTheme="minorHAnsi" w:cstheme="minorBidi"/>
          <w:lang w:eastAsia="en-US"/>
        </w:rPr>
      </w:pPr>
    </w:p>
    <w:p w:rsidR="0088720D" w:rsidRDefault="00712933" w:rsidP="00FB4CF3">
      <w:pPr>
        <w:spacing w:after="160" w:line="259" w:lineRule="auto"/>
        <w:jc w:val="both"/>
        <w:rPr>
          <w:rFonts w:eastAsiaTheme="minorHAnsi"/>
          <w:lang w:eastAsia="en-US"/>
        </w:rPr>
      </w:pPr>
      <w:r w:rsidRPr="00FB4CF3">
        <w:rPr>
          <w:rFonts w:eastAsiaTheme="minorHAnsi"/>
          <w:lang w:eastAsia="en-US"/>
        </w:rPr>
        <w:t>Το Επιμελητήριο Κέρκυρας σας ενημερώνει</w:t>
      </w:r>
      <w:r w:rsidR="00FB4CF3" w:rsidRPr="00FB4CF3">
        <w:rPr>
          <w:rFonts w:eastAsiaTheme="minorHAnsi"/>
          <w:lang w:eastAsia="en-US"/>
        </w:rPr>
        <w:t xml:space="preserve"> για την μέχρι σήμερα πορεία υλοποίησης του Μεταφορικού Ισοδύναμου (Ν 4551/2018) για επιβάτες και για επιχειρήσεις.</w:t>
      </w:r>
    </w:p>
    <w:p w:rsidR="003775A5" w:rsidRPr="003775A5" w:rsidRDefault="003775A5" w:rsidP="00FB4CF3">
      <w:pPr>
        <w:spacing w:after="160" w:line="259" w:lineRule="auto"/>
        <w:jc w:val="both"/>
        <w:rPr>
          <w:rFonts w:eastAsiaTheme="minorHAnsi"/>
          <w:i/>
          <w:lang w:eastAsia="en-US"/>
        </w:rPr>
      </w:pPr>
      <w:r w:rsidRPr="003775A5">
        <w:rPr>
          <w:rFonts w:eastAsiaTheme="minorHAnsi"/>
          <w:i/>
          <w:lang w:eastAsia="en-US"/>
        </w:rPr>
        <w:t>Δείτε το συνημμένο αρχείο.</w:t>
      </w:r>
      <w:bookmarkStart w:id="0" w:name="_GoBack"/>
      <w:bookmarkEnd w:id="0"/>
    </w:p>
    <w:p w:rsidR="003775A5" w:rsidRDefault="003775A5" w:rsidP="00FB4CF3">
      <w:pPr>
        <w:jc w:val="center"/>
        <w:rPr>
          <w:rFonts w:eastAsiaTheme="minorHAnsi"/>
          <w:b/>
          <w:sz w:val="30"/>
          <w:szCs w:val="30"/>
          <w:lang w:eastAsia="en-US"/>
        </w:rPr>
      </w:pPr>
    </w:p>
    <w:p w:rsidR="00FB4CF3" w:rsidRPr="006C6E6B" w:rsidRDefault="00FB4CF3" w:rsidP="00FB4CF3">
      <w:pPr>
        <w:jc w:val="center"/>
        <w:rPr>
          <w:b/>
          <w:sz w:val="28"/>
          <w:szCs w:val="28"/>
        </w:rPr>
      </w:pPr>
      <w:r w:rsidRPr="006C6E6B">
        <w:rPr>
          <w:b/>
          <w:sz w:val="28"/>
          <w:szCs w:val="28"/>
        </w:rPr>
        <w:t xml:space="preserve">ΠΟΡΕΙΑ ΥΛΟΠΟΙΗΣΗΣ Μ.Ι. (Ν 4551/2018) ΓΙΑ ΕΠΙΒΑΤΕΣ </w:t>
      </w:r>
    </w:p>
    <w:p w:rsidR="00FB4CF3" w:rsidRDefault="00FB4CF3" w:rsidP="00FB4CF3">
      <w:pPr>
        <w:jc w:val="both"/>
      </w:pPr>
    </w:p>
    <w:p w:rsidR="00FB4CF3" w:rsidRPr="00AE6043" w:rsidRDefault="00FB4CF3" w:rsidP="00FB4CF3">
      <w:pPr>
        <w:jc w:val="both"/>
        <w:rPr>
          <w:b/>
          <w:u w:val="single"/>
        </w:rPr>
      </w:pPr>
      <w:r w:rsidRPr="00AE6043">
        <w:rPr>
          <w:b/>
          <w:u w:val="single"/>
        </w:rPr>
        <w:t>Γενικές επισημάνσεις:</w:t>
      </w:r>
    </w:p>
    <w:p w:rsidR="00FB4CF3" w:rsidRDefault="00FB4CF3" w:rsidP="00FB4CF3">
      <w:pPr>
        <w:pStyle w:val="a6"/>
        <w:numPr>
          <w:ilvl w:val="0"/>
          <w:numId w:val="18"/>
        </w:numPr>
        <w:spacing w:after="200" w:line="276" w:lineRule="auto"/>
        <w:jc w:val="both"/>
      </w:pPr>
      <w:r w:rsidRPr="00D54D14">
        <w:t xml:space="preserve">201.126 νησιώτες έλαβαν κατά </w:t>
      </w:r>
      <w:proofErr w:type="spellStart"/>
      <w:r w:rsidRPr="00D54D14">
        <w:t>μ.ο</w:t>
      </w:r>
      <w:proofErr w:type="spellEnd"/>
      <w:r w:rsidRPr="00D54D14">
        <w:t xml:space="preserve">. και κατά κεφαλήν 82,42 </w:t>
      </w:r>
      <w:r w:rsidRPr="00D54D14">
        <w:rPr>
          <w:rFonts w:cstheme="minorHAnsi"/>
        </w:rPr>
        <w:t>€</w:t>
      </w:r>
      <w:r w:rsidRPr="00D54D14">
        <w:t xml:space="preserve"> ως όφελος για τις μετακινήσεις </w:t>
      </w:r>
      <w:r>
        <w:t>τους</w:t>
      </w:r>
    </w:p>
    <w:p w:rsidR="00FB4CF3" w:rsidRDefault="00FB4CF3" w:rsidP="00FB4CF3">
      <w:pPr>
        <w:pStyle w:val="a6"/>
        <w:numPr>
          <w:ilvl w:val="0"/>
          <w:numId w:val="18"/>
        </w:numPr>
        <w:spacing w:after="200" w:line="276" w:lineRule="auto"/>
        <w:jc w:val="both"/>
      </w:pPr>
      <w:r>
        <w:t>Κατά μέσο όρο το 43% του νησιωτικού πληθυσμού έχει εγγραφεί και αποκτήσει ΜΑΝ, ωστόσο πραγματική χρήση του ΑΝΗΚΟ έκαναν 3 στους 10 ωφελούμενοι</w:t>
      </w:r>
    </w:p>
    <w:p w:rsidR="00FB4CF3" w:rsidRDefault="00FB4CF3" w:rsidP="00FB4CF3">
      <w:pPr>
        <w:pStyle w:val="a6"/>
        <w:numPr>
          <w:ilvl w:val="0"/>
          <w:numId w:val="18"/>
        </w:numPr>
        <w:spacing w:after="200" w:line="276" w:lineRule="auto"/>
        <w:jc w:val="both"/>
      </w:pPr>
      <w:r>
        <w:t xml:space="preserve">Συγκριτικά με το πληθυσμό που κατοικεί στα νησιά εφαρμογής και με βάση τα στοιχεία της Απογραφής, προκύπτει ότι το 27% του πληθυσμού έχει επωφεληθεί μέχρι σήμερα από το ΑΝΗΚΟ στους επιβάτες. Ιδιαίτερο ενδιαφέρον παρουσιάζει το γεγονός ότι μεγαλύτερη απήχηση παρουσιάζει το μέτρο στα νησιά που βρίσκονται εγγύτερα σε ηπειρωτικά λιμάνια και ευνοείται η συχνότητα στη μετακίνηση, από ότι στα μικρά απομακρυσμένα νησιά. </w:t>
      </w:r>
    </w:p>
    <w:p w:rsidR="00FB4CF3" w:rsidRDefault="00FB4CF3" w:rsidP="00FB4CF3">
      <w:pPr>
        <w:pStyle w:val="a6"/>
        <w:numPr>
          <w:ilvl w:val="0"/>
          <w:numId w:val="18"/>
        </w:numPr>
        <w:spacing w:after="200" w:line="276" w:lineRule="auto"/>
        <w:jc w:val="both"/>
      </w:pPr>
      <w:r>
        <w:t xml:space="preserve">Στα μεγάλα νησιά του Νοτίου Αιγαίου, Βορείου Αιγαίου και Ιονίων η απήχηση του μέτρου στους κατοίκους είναι μικρή και μόλις 1 ή 2 στους 10 κάνουν χρήση της ωφέλειας αυτής. </w:t>
      </w:r>
    </w:p>
    <w:p w:rsidR="00FB4CF3" w:rsidRDefault="00FB4CF3" w:rsidP="00FB4CF3">
      <w:pPr>
        <w:pStyle w:val="a6"/>
        <w:numPr>
          <w:ilvl w:val="0"/>
          <w:numId w:val="18"/>
        </w:numPr>
        <w:spacing w:after="200" w:line="276" w:lineRule="auto"/>
        <w:jc w:val="both"/>
      </w:pPr>
      <w:r>
        <w:t xml:space="preserve">Οι κάτοικοι των μικρών και πολύ μικρών νησιών φαίνεται να μην επωφελήθηκαν σημαντικά, ενώ οι μεγάλοι νησιωτικοί πληθυσμοί αξιοποίησαν δυσανάλογα το μέτρο εις βάρος των μικρότερων, όπως άλλωστε αναμένονταν να συμβεί. Κατά το σχεδιασμό, αλλά και την εφαρμογή του Ν. 4551/2018, η προηγούμενη πολιτική ηγεσία του ΥΝΑΝΠ, δεν έλαβε υπόψη τη δεδομένη </w:t>
      </w:r>
      <w:r>
        <w:lastRenderedPageBreak/>
        <w:t>στήριξη μέσω των άγονων γραμμών της ωφέλειας για τον μόνιμο κάτοικο και επιχειρηματία.</w:t>
      </w:r>
    </w:p>
    <w:p w:rsidR="00FB4CF3" w:rsidRDefault="00FB4CF3" w:rsidP="00FB4CF3">
      <w:pPr>
        <w:jc w:val="both"/>
      </w:pPr>
    </w:p>
    <w:p w:rsidR="00FB4CF3" w:rsidRPr="00AE6043" w:rsidRDefault="00FB4CF3" w:rsidP="00FB4CF3">
      <w:pPr>
        <w:jc w:val="both"/>
        <w:rPr>
          <w:b/>
        </w:rPr>
      </w:pPr>
      <w:r w:rsidRPr="00AE6043">
        <w:rPr>
          <w:b/>
        </w:rPr>
        <w:t xml:space="preserve">Πίνακας. Συνοπτική παρουσίαση δεικτών αποτελεσματικότητας και αξιοποίησης μέτρου ΜΙ από επιβάτες </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355"/>
        <w:gridCol w:w="1128"/>
        <w:gridCol w:w="878"/>
        <w:gridCol w:w="1125"/>
        <w:gridCol w:w="1389"/>
        <w:gridCol w:w="818"/>
        <w:gridCol w:w="1203"/>
        <w:gridCol w:w="1479"/>
        <w:gridCol w:w="1289"/>
      </w:tblGrid>
      <w:tr w:rsidR="00FB4CF3" w:rsidRPr="006C6E6B" w:rsidTr="00BB6754">
        <w:trPr>
          <w:trHeight w:val="1920"/>
          <w:jc w:val="center"/>
        </w:trPr>
        <w:tc>
          <w:tcPr>
            <w:tcW w:w="507"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α/α</w:t>
            </w:r>
          </w:p>
        </w:tc>
        <w:tc>
          <w:tcPr>
            <w:tcW w:w="1068"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Νησί</w:t>
            </w:r>
          </w:p>
        </w:tc>
        <w:tc>
          <w:tcPr>
            <w:tcW w:w="1128"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 xml:space="preserve">Συνολικός αριθμός </w:t>
            </w:r>
            <w:proofErr w:type="spellStart"/>
            <w:r w:rsidRPr="006C6E6B">
              <w:rPr>
                <w:rFonts w:ascii="Calibri" w:hAnsi="Calibri" w:cs="Calibri"/>
                <w:b/>
                <w:sz w:val="18"/>
                <w:szCs w:val="18"/>
              </w:rPr>
              <w:t>εκδοθέντων</w:t>
            </w:r>
            <w:proofErr w:type="spellEnd"/>
            <w:r w:rsidRPr="006C6E6B">
              <w:rPr>
                <w:rFonts w:ascii="Calibri" w:hAnsi="Calibri" w:cs="Calibri"/>
                <w:b/>
                <w:sz w:val="18"/>
                <w:szCs w:val="18"/>
              </w:rPr>
              <w:t xml:space="preserve"> ΜΑΝ</w:t>
            </w:r>
          </w:p>
        </w:tc>
        <w:tc>
          <w:tcPr>
            <w:tcW w:w="878"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Αριθμός ΜΑΝ  που έκαναν χρήση του μέτρου</w:t>
            </w:r>
          </w:p>
        </w:tc>
        <w:tc>
          <w:tcPr>
            <w:tcW w:w="1125"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Αριθμός Εισιτηρίων που είναι επιλέξιμα για Α.ΝΗ.ΚΟ.</w:t>
            </w:r>
          </w:p>
        </w:tc>
        <w:tc>
          <w:tcPr>
            <w:tcW w:w="1389"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Συνολικό Α.ΝΗ.ΚΟ. των επιλέξιμων εισιτηρίων</w:t>
            </w:r>
          </w:p>
        </w:tc>
        <w:tc>
          <w:tcPr>
            <w:tcW w:w="818"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Ποσό κατά κεφαλή που έκανε χρήση του Μέτρου</w:t>
            </w:r>
          </w:p>
        </w:tc>
        <w:tc>
          <w:tcPr>
            <w:tcW w:w="1203"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 xml:space="preserve">Ποσό </w:t>
            </w:r>
            <w:proofErr w:type="spellStart"/>
            <w:r w:rsidRPr="006C6E6B">
              <w:rPr>
                <w:rFonts w:ascii="Calibri" w:hAnsi="Calibri" w:cs="Calibri"/>
                <w:b/>
                <w:sz w:val="18"/>
                <w:szCs w:val="18"/>
              </w:rPr>
              <w:t>ανα</w:t>
            </w:r>
            <w:proofErr w:type="spellEnd"/>
            <w:r w:rsidRPr="006C6E6B">
              <w:rPr>
                <w:rFonts w:ascii="Calibri" w:hAnsi="Calibri" w:cs="Calibri"/>
                <w:b/>
                <w:sz w:val="18"/>
                <w:szCs w:val="18"/>
              </w:rPr>
              <w:t xml:space="preserve"> ωφελούμενη μονάδα που έκανε χρήση του Μέτρου</w:t>
            </w:r>
          </w:p>
        </w:tc>
        <w:tc>
          <w:tcPr>
            <w:tcW w:w="1479"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Ποσοστό χρήσης Μέτρου από Εγγεγραμμένους Χρήστες ΜΑΝ</w:t>
            </w:r>
          </w:p>
        </w:tc>
        <w:tc>
          <w:tcPr>
            <w:tcW w:w="1289" w:type="dxa"/>
            <w:shd w:val="clear" w:color="auto" w:fill="auto"/>
            <w:vAlign w:val="center"/>
            <w:hideMark/>
          </w:tcPr>
          <w:p w:rsidR="00FB4CF3" w:rsidRPr="006C6E6B" w:rsidRDefault="00FB4CF3" w:rsidP="00BB6754">
            <w:pPr>
              <w:jc w:val="center"/>
              <w:rPr>
                <w:rFonts w:ascii="Calibri" w:hAnsi="Calibri" w:cs="Calibri"/>
                <w:b/>
                <w:sz w:val="18"/>
                <w:szCs w:val="18"/>
              </w:rPr>
            </w:pPr>
            <w:r w:rsidRPr="006C6E6B">
              <w:rPr>
                <w:rFonts w:ascii="Calibri" w:hAnsi="Calibri" w:cs="Calibri"/>
                <w:b/>
                <w:sz w:val="18"/>
                <w:szCs w:val="18"/>
              </w:rPr>
              <w:t xml:space="preserve">Μ.Ο. Εισιτηρίων που επιδοτήθηκαν </w:t>
            </w:r>
            <w:proofErr w:type="spellStart"/>
            <w:r w:rsidRPr="006C6E6B">
              <w:rPr>
                <w:rFonts w:ascii="Calibri" w:hAnsi="Calibri" w:cs="Calibri"/>
                <w:b/>
                <w:sz w:val="18"/>
                <w:szCs w:val="18"/>
              </w:rPr>
              <w:t>ανα</w:t>
            </w:r>
            <w:proofErr w:type="spellEnd"/>
            <w:r w:rsidRPr="006C6E6B">
              <w:rPr>
                <w:rFonts w:ascii="Calibri" w:hAnsi="Calibri" w:cs="Calibri"/>
                <w:b/>
                <w:sz w:val="18"/>
                <w:szCs w:val="18"/>
              </w:rPr>
              <w:t xml:space="preserve"> ωφελούμενο (ατομικά)</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ΧΙΟΣ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29.697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19.820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75.786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1.686.448,67 €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85,09 €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155,92 €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ΛΕΣΒΟΣ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41.441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24.715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82.195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1.602.425,68 €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64,84 €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114,94 €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ΣΥΡΟΣ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15.450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12.299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77.909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1.538.157,87 €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125,06 €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224,58 €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ΡΟΔΟΣ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43.358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17.494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49.580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968.048,96 €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55,34 €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96,32 €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ΣΑΜΟΣ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16.409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9.934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33.149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813.669,68 €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81,91 €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141,43 €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ΚΩΣ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18.543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10.888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36.641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801.405,21 €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73,60 €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132,18 €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3,4</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ΝΑΞΟΣ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11.928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7.634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35.166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776.750,34 €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101,75 €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179,97 €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ΠΑΡΟΣ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10.201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6.874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33.111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685.418,02 €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99,71 €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176,15 €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ΚΑΛΥΜΝΟΣ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9.308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5.775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22.822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491.221,30 €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85,06 €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155,50 €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62%</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ΤΗΝΟΣ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5.591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4.368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26.868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463.015,80 €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106,00 €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191,80 €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ΑΙΓΙΝΑ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6.313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4.984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56.860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425.721,02 €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85,42 €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152,92 €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11,4</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ΛΕΡΟΣ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4.978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3.695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21.558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415.455,40 €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112,44 €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200,90 €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ΑΝΔΡΟΣ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5.640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4.317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31.813</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408.919,33 €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94,72 €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174,75 €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7,4</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ΜΗΛΟΣ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4.010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2.865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12.170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404.789,61 €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141,29 €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254,42 €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ΚΕΡΚΥΡΑ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19.863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11.708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49.373</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385.565,20 €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32,93 €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62,33 €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ΣΙΦΝΟΣ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2.508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1.945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11.439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344.683,43 €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177,22 €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329,21 €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ΣΚΙΑΘΟΣ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4.223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2.859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15.738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306.188,37 €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107,10 €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191,85 €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5,5</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ΙΚΑΡΙΑ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5.259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3.826</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17.396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301.620,23 €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78,83 €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135,99 €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73%</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4,5</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ΘΗΡΑ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7.355</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3.322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10.666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282.562,23 €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85,06 €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147,48 €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ΣΚΟΠΕΛΟΣ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3.340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2.486</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14.579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277.336,91 €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111,56 €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201,11 €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ΜΥΚΟΝΟΣ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4.145</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2.292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10.812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220.494,01 €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96,20 €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172,80 €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lastRenderedPageBreak/>
              <w:t>22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ΠΟΡΟΣ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2.918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1.799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11.757</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211.448,42 €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117,54 €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192,05 €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62%</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6,5</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ΠΑΤΜΟΣ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2.368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1.817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10.235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208.631,86 €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114,82 €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199,84 €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ΥΔΡΑ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1.472</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1.113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9.559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205.587,20 €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184,71 €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310,55 €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ΣΥΜΗ</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1.843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1.522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16.408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182.979,89 €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120,22 €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233,69 €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83%</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10,8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ΣΕΡΙΦΟΣ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928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769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5.868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155.492,92 €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202,20 €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342,50 €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83%</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ΙΟΣ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1.537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1.163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5.999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150.006,74 €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128,98 €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225,91 €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ΣΠΕΤΣΕΣ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1.620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918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4.559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136.618,61 €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148,82 €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222,14 €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5,0</w:t>
            </w:r>
          </w:p>
        </w:tc>
      </w:tr>
      <w:tr w:rsidR="00FB4CF3" w:rsidRPr="006C6E6B" w:rsidTr="00BB6754">
        <w:trPr>
          <w:trHeight w:val="36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ΣΑΜΟΘΡΑΚΗ</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1.787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1.451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13.796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134.541,83 €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92,72 €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170,74 €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9,5</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ΚΕΑ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1.499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1.272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12.738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121.922,35 €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95,85 €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188,15 €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10,0</w:t>
            </w:r>
          </w:p>
        </w:tc>
      </w:tr>
      <w:tr w:rsidR="00FB4CF3" w:rsidRPr="006C6E6B" w:rsidTr="00BB6754">
        <w:trPr>
          <w:trHeight w:val="28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ΑΛΟΝΝΗΣΟΣ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1.439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1.099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5.713</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113.141,94 €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102,95 €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179,02 €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ΛΗΜΝΟΣ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5.733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3.442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12.588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113.013,77 €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32,83 €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62,13 €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ΚΥΘΝΟΣ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1.282</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7.818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112.005,64 €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116,55 €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214,57 €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8,1</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ΦΟΛΕΓΑΝΔΡΟΣ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607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518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3.146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98.996,96 €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191,11 €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325,65 €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6,1</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ΖΑΚΥΝΘΟΣ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5.427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3.210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15.241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93.617,43 €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29,16 €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53,10 €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4,7</w:t>
            </w:r>
          </w:p>
        </w:tc>
      </w:tr>
      <w:tr w:rsidR="00FB4CF3" w:rsidRPr="006C6E6B" w:rsidTr="00BB6754">
        <w:trPr>
          <w:trHeight w:val="31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ΚΕΦΑΛΛΟΝΙΑ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6.766</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3.620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13.330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88.913,63 €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24,56 €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44,86 €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ΚΑΡΠΑΘΟΣ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3.279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1.611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4.598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87.114,77 €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54,07 €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87,73 €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ΚΙΜΩΛΟΣ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2.819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69.160,74 €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130,00 €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223,82 €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ΑΜΟΡΓΟΣ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1.091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827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3.978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67.960,37 €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82,18 €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148,71 €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ΑΓΚΙΣΤΡΙ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567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504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6.860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66.938,75 €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132,81 €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247,92 €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13,6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ΑΝΤΙΠΑΡΟΣ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1.007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3.047</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64.060,95 €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96,92 €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170,83 €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4,6</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ΝΙΣΥΡΟΣ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517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3.131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47.123,51 €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91,15 €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162,49 €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6,1</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ΦΟΥΡΝΟΙ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819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2.699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45.372,51 €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71,79 €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129,27 €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ΚΑΣΟΣ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824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2.613</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44.059,64 €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65,47 €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121,38 €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82%</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ΚΥΘΗΡΑ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1.742</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1.303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5.168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40.832,35 €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31,34 €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57,84 €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ΠΑΞΟΙ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1.091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702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4.034</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37.704,56 €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53,71 €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96,93 €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ΤΗΛΟΣ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527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4.218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37.464,14 €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88,36 €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147,50 €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9,9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ΛΕΙΨΟΙ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370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1.934</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32.274,28 €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87,23 €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159,77 €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ΨΑΡΑ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1.528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31.743,82 €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128,52 €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223,55 €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77%</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ΑΣΤΥΠΑΛΑΙΑ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799</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477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1.820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29.336,31 €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61,50 €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99,78 €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ΘΑΣΟΣ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1.438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795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6.749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18.410,84 €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23,16 €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43,02 €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8,5</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lastRenderedPageBreak/>
              <w:t>52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ΙΘΑΚΗ</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1.103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578</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2.425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17.214,95 €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29,78 €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50,93 €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ΑΝΑΦΗ</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896</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17.161,88 €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99,20 €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168,25 €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ΣΚΥΡΟΣ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662</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389</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2.030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16.159,04 €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41,54 €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77,69 €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ΟΙΝΟΥΣΣΕΣ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192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744</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16.000,14 €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83,33 €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140,35 €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3,9</w:t>
            </w:r>
          </w:p>
        </w:tc>
      </w:tr>
      <w:tr w:rsidR="00FB4CF3" w:rsidRPr="006C6E6B" w:rsidTr="00BB6754">
        <w:trPr>
          <w:trHeight w:val="49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ΚΟΥΦΟΝΗΣΙ (ΑΝΩ)</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157</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522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12.830,12 €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128,30 €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213,84 €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64%</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ΣΙΚΙΝΟΣ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10.357,85 €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81,56 €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119,06 €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ΗΡΑΚΛΕΙΑ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435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7.601,37 €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116,94 €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200,04 €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83%</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ΣΧΟΙΝΟΥΣΑ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76</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372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6.996,40 €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92,06 €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145,76 €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4,9</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ΔΟΝΟΥΣΑ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331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5.314,49 €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74,85 €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123,59 €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76%</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ΑΓΑΘΟΝΗΣΙ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42</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4.722,05 €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112,43 €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157,40 €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ΘΥΜΑΙΝΑ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96</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248</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4.191,56 €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63,51 €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104,79 €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69%</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3,8</w:t>
            </w:r>
          </w:p>
        </w:tc>
      </w:tr>
      <w:tr w:rsidR="00FB4CF3" w:rsidRPr="006C6E6B" w:rsidTr="00BB6754">
        <w:trPr>
          <w:trHeight w:val="28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ΚΑΣΤΕΛΟΡΙΖΟ</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3.833,45 €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70,99 €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98,29 €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25%</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3,2</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ΧΑΛΚΗ</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46</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2.839,67 €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61,73 €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94,66 €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ΨΕΡΙΜΟΣ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30</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62</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1.753,06 €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116,87 €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219,13 €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4,1</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ΘΗΡΑΣΙΑ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1.412,49 €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58,85 €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74,34 €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2,3</w:t>
            </w:r>
          </w:p>
        </w:tc>
      </w:tr>
      <w:tr w:rsidR="00FB4CF3" w:rsidRPr="006C6E6B" w:rsidTr="00BB6754">
        <w:trPr>
          <w:trHeight w:val="49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67</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ΑΓΙΟΣ ΕΥΣΤΡΑΤΙΟΣ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53</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27</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144</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1.217,43 €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45,09 €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55,34 €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5,3</w:t>
            </w:r>
          </w:p>
        </w:tc>
      </w:tr>
      <w:tr w:rsidR="00FB4CF3" w:rsidRPr="006C6E6B" w:rsidTr="00BB6754">
        <w:trPr>
          <w:trHeight w:val="49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68</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ΑΝΤΙΚΥΘΗΡΑ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125</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574,97 €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27,38 €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47,91 €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88%</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6,0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69</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ΕΡΕΙΚΟΥΣΑ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98,33 €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32,78 €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32,78 €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21%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4,3</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70</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ΟΘΩΝΟΙ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5</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9</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66,65 €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13,33 €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16,66 €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11%</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1,8</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71</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ΜΑΘΡΑΚΙ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11</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63,97 €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21,32 €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31,99 €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50%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3,7</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72</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ΑΝΤΙΠΑΞΟΙ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0,0</w:t>
            </w:r>
          </w:p>
        </w:tc>
      </w:tr>
      <w:tr w:rsidR="00FB4CF3" w:rsidRPr="006C6E6B" w:rsidTr="00BB6754">
        <w:trPr>
          <w:trHeight w:val="495"/>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73</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ΕΛΑΦΟΝΗΣΟΣ</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74</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ΜΕΓΑΝΗΣΙ</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18</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0,0</w:t>
            </w:r>
          </w:p>
        </w:tc>
      </w:tr>
      <w:tr w:rsidR="00FB4CF3" w:rsidRPr="006C6E6B" w:rsidTr="00BB6754">
        <w:trPr>
          <w:trHeight w:val="300"/>
          <w:jc w:val="center"/>
        </w:trPr>
        <w:tc>
          <w:tcPr>
            <w:tcW w:w="507" w:type="dxa"/>
            <w:shd w:val="clear" w:color="auto" w:fill="auto"/>
            <w:vAlign w:val="bottom"/>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75</w:t>
            </w:r>
          </w:p>
        </w:tc>
        <w:tc>
          <w:tcPr>
            <w:tcW w:w="1068" w:type="dxa"/>
            <w:shd w:val="clear" w:color="auto" w:fill="auto"/>
            <w:vAlign w:val="bottom"/>
            <w:hideMark/>
          </w:tcPr>
          <w:p w:rsidR="00FB4CF3" w:rsidRPr="006C6E6B" w:rsidRDefault="00FB4CF3" w:rsidP="00BB6754">
            <w:pPr>
              <w:rPr>
                <w:rFonts w:ascii="Calibri" w:hAnsi="Calibri" w:cs="Calibri"/>
                <w:sz w:val="18"/>
                <w:szCs w:val="18"/>
              </w:rPr>
            </w:pPr>
            <w:r w:rsidRPr="006C6E6B">
              <w:rPr>
                <w:rFonts w:ascii="Calibri" w:hAnsi="Calibri" w:cs="Calibri"/>
                <w:sz w:val="18"/>
                <w:szCs w:val="18"/>
              </w:rPr>
              <w:t>ΣΑΛΑΜΙΝΑ</w:t>
            </w:r>
          </w:p>
        </w:tc>
        <w:tc>
          <w:tcPr>
            <w:tcW w:w="112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445</w:t>
            </w:r>
          </w:p>
        </w:tc>
        <w:tc>
          <w:tcPr>
            <w:tcW w:w="87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125"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w:t>
            </w:r>
          </w:p>
        </w:tc>
        <w:tc>
          <w:tcPr>
            <w:tcW w:w="1389"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818"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203" w:type="dxa"/>
            <w:shd w:val="clear" w:color="auto" w:fill="auto"/>
            <w:vAlign w:val="center"/>
            <w:hideMark/>
          </w:tcPr>
          <w:p w:rsidR="00FB4CF3" w:rsidRPr="006C6E6B" w:rsidRDefault="00FB4CF3" w:rsidP="00BB6754">
            <w:pPr>
              <w:jc w:val="right"/>
              <w:rPr>
                <w:rFonts w:ascii="Calibri" w:hAnsi="Calibri" w:cs="Calibri"/>
                <w:sz w:val="18"/>
                <w:szCs w:val="18"/>
              </w:rPr>
            </w:pPr>
            <w:r w:rsidRPr="006C6E6B">
              <w:rPr>
                <w:rFonts w:ascii="Calibri" w:hAnsi="Calibri" w:cs="Calibri"/>
                <w:sz w:val="18"/>
                <w:szCs w:val="18"/>
              </w:rPr>
              <w:t>0,00 €</w:t>
            </w:r>
          </w:p>
        </w:tc>
        <w:tc>
          <w:tcPr>
            <w:tcW w:w="147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w:t>
            </w:r>
          </w:p>
        </w:tc>
        <w:tc>
          <w:tcPr>
            <w:tcW w:w="1289" w:type="dxa"/>
            <w:shd w:val="clear" w:color="auto" w:fill="auto"/>
            <w:vAlign w:val="center"/>
            <w:hideMark/>
          </w:tcPr>
          <w:p w:rsidR="00FB4CF3" w:rsidRPr="006C6E6B" w:rsidRDefault="00FB4CF3" w:rsidP="00BB6754">
            <w:pPr>
              <w:jc w:val="center"/>
              <w:rPr>
                <w:rFonts w:ascii="Calibri" w:hAnsi="Calibri" w:cs="Calibri"/>
                <w:sz w:val="18"/>
                <w:szCs w:val="18"/>
              </w:rPr>
            </w:pPr>
            <w:r w:rsidRPr="006C6E6B">
              <w:rPr>
                <w:rFonts w:ascii="Calibri" w:hAnsi="Calibri" w:cs="Calibri"/>
                <w:sz w:val="18"/>
                <w:szCs w:val="18"/>
              </w:rPr>
              <w:t>0,0</w:t>
            </w:r>
          </w:p>
        </w:tc>
      </w:tr>
      <w:tr w:rsidR="00FB4CF3" w:rsidRPr="006C6E6B" w:rsidTr="00BB6754">
        <w:trPr>
          <w:trHeight w:val="300"/>
          <w:jc w:val="center"/>
        </w:trPr>
        <w:tc>
          <w:tcPr>
            <w:tcW w:w="10884" w:type="dxa"/>
            <w:gridSpan w:val="10"/>
            <w:shd w:val="clear" w:color="auto" w:fill="auto"/>
            <w:vAlign w:val="bottom"/>
            <w:hideMark/>
          </w:tcPr>
          <w:p w:rsidR="00FB4CF3" w:rsidRPr="006C6E6B" w:rsidRDefault="00FB4CF3" w:rsidP="00BB6754">
            <w:pPr>
              <w:jc w:val="center"/>
              <w:rPr>
                <w:rFonts w:ascii="Calibri" w:hAnsi="Calibri" w:cs="Calibri"/>
                <w:sz w:val="18"/>
                <w:szCs w:val="18"/>
              </w:rPr>
            </w:pPr>
          </w:p>
        </w:tc>
      </w:tr>
      <w:tr w:rsidR="00FB4CF3" w:rsidRPr="006C6E6B" w:rsidTr="00BB6754">
        <w:trPr>
          <w:trHeight w:val="300"/>
          <w:jc w:val="center"/>
        </w:trPr>
        <w:tc>
          <w:tcPr>
            <w:tcW w:w="1575" w:type="dxa"/>
            <w:gridSpan w:val="2"/>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ΣΥΝΟΛΑ</w:t>
            </w:r>
          </w:p>
        </w:tc>
        <w:tc>
          <w:tcPr>
            <w:tcW w:w="1128"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326.214</w:t>
            </w:r>
          </w:p>
        </w:tc>
        <w:tc>
          <w:tcPr>
            <w:tcW w:w="878"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201.126</w:t>
            </w:r>
            <w:r>
              <w:rPr>
                <w:rFonts w:ascii="Calibri" w:hAnsi="Calibri" w:cs="Calibri"/>
                <w:b/>
                <w:sz w:val="20"/>
                <w:szCs w:val="20"/>
              </w:rPr>
              <w:t xml:space="preserve"> (άτομα)</w:t>
            </w:r>
          </w:p>
        </w:tc>
        <w:tc>
          <w:tcPr>
            <w:tcW w:w="1125"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939.174</w:t>
            </w:r>
            <w:r>
              <w:rPr>
                <w:rFonts w:ascii="Calibri" w:hAnsi="Calibri" w:cs="Calibri"/>
                <w:b/>
                <w:sz w:val="20"/>
                <w:szCs w:val="20"/>
              </w:rPr>
              <w:t xml:space="preserve"> (εισιτήρια)</w:t>
            </w:r>
          </w:p>
        </w:tc>
        <w:tc>
          <w:tcPr>
            <w:tcW w:w="1389"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16.576.783,87 €</w:t>
            </w:r>
          </w:p>
        </w:tc>
        <w:tc>
          <w:tcPr>
            <w:tcW w:w="818"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82,42 €</w:t>
            </w:r>
          </w:p>
        </w:tc>
        <w:tc>
          <w:tcPr>
            <w:tcW w:w="1203"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147,34 €</w:t>
            </w:r>
          </w:p>
        </w:tc>
        <w:tc>
          <w:tcPr>
            <w:tcW w:w="1479"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62%</w:t>
            </w:r>
          </w:p>
        </w:tc>
        <w:tc>
          <w:tcPr>
            <w:tcW w:w="1289" w:type="dxa"/>
            <w:shd w:val="clear" w:color="auto" w:fill="auto"/>
            <w:vAlign w:val="center"/>
            <w:hideMark/>
          </w:tcPr>
          <w:p w:rsidR="00FB4CF3" w:rsidRPr="006C6E6B" w:rsidRDefault="00FB4CF3" w:rsidP="00BB6754">
            <w:pPr>
              <w:jc w:val="center"/>
              <w:rPr>
                <w:rFonts w:ascii="Calibri" w:hAnsi="Calibri" w:cs="Calibri"/>
                <w:b/>
                <w:sz w:val="20"/>
                <w:szCs w:val="20"/>
              </w:rPr>
            </w:pPr>
            <w:r w:rsidRPr="006C6E6B">
              <w:rPr>
                <w:rFonts w:ascii="Calibri" w:hAnsi="Calibri" w:cs="Calibri"/>
                <w:b/>
                <w:sz w:val="20"/>
                <w:szCs w:val="20"/>
              </w:rPr>
              <w:t>4,7</w:t>
            </w:r>
          </w:p>
        </w:tc>
      </w:tr>
    </w:tbl>
    <w:p w:rsidR="00FB4CF3" w:rsidRDefault="00FB4CF3" w:rsidP="00FB4CF3">
      <w:pPr>
        <w:rPr>
          <w:b/>
        </w:rPr>
      </w:pPr>
    </w:p>
    <w:p w:rsidR="00FB4CF3" w:rsidRDefault="00FB4CF3" w:rsidP="00FB4CF3">
      <w:r w:rsidRPr="00AE6043">
        <w:rPr>
          <w:b/>
        </w:rPr>
        <w:t>Πηγή</w:t>
      </w:r>
      <w:r>
        <w:t xml:space="preserve">: ΓΓΑΙΓΝΠ (2019), ιδία επεξεργασία </w:t>
      </w:r>
    </w:p>
    <w:p w:rsidR="00FB4CF3" w:rsidRDefault="00FB4CF3" w:rsidP="00FB4CF3"/>
    <w:p w:rsidR="00FB4CF3" w:rsidRDefault="00FB4CF3" w:rsidP="00FB4CF3"/>
    <w:p w:rsidR="00FB4CF3" w:rsidRPr="00AE6043" w:rsidRDefault="00FB4CF3" w:rsidP="00FB4CF3">
      <w:pPr>
        <w:rPr>
          <w:b/>
        </w:rPr>
      </w:pPr>
      <w:r w:rsidRPr="00AE6043">
        <w:rPr>
          <w:b/>
        </w:rPr>
        <w:t>Πίνακας. Συσχέτιση αποτελεσματικότητας με πληθυσμό ανά νησί</w:t>
      </w:r>
    </w:p>
    <w:tbl>
      <w:tblPr>
        <w:tblW w:w="7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48"/>
        <w:gridCol w:w="1183"/>
        <w:gridCol w:w="1125"/>
        <w:gridCol w:w="1827"/>
        <w:gridCol w:w="1098"/>
        <w:gridCol w:w="1002"/>
      </w:tblGrid>
      <w:tr w:rsidR="00FB4CF3" w:rsidRPr="00766C72" w:rsidTr="00BB6754">
        <w:trPr>
          <w:trHeight w:val="2160"/>
        </w:trPr>
        <w:tc>
          <w:tcPr>
            <w:tcW w:w="623"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lastRenderedPageBreak/>
              <w:t>α/α</w:t>
            </w:r>
          </w:p>
        </w:tc>
        <w:tc>
          <w:tcPr>
            <w:tcW w:w="1311"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Νησί</w:t>
            </w:r>
          </w:p>
        </w:tc>
        <w:tc>
          <w:tcPr>
            <w:tcW w:w="1003"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ΠΛΗΘΥΣΜΟΣ (στοιχεία απογραφής 2011)</w:t>
            </w:r>
          </w:p>
        </w:tc>
        <w:tc>
          <w:tcPr>
            <w:tcW w:w="1059"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Δείκτης απήχησης ΜΙ (</w:t>
            </w:r>
            <w:proofErr w:type="spellStart"/>
            <w:r w:rsidRPr="00766C72">
              <w:rPr>
                <w:rFonts w:ascii="Calibri" w:hAnsi="Calibri" w:cs="Calibri"/>
                <w:sz w:val="18"/>
                <w:szCs w:val="18"/>
              </w:rPr>
              <w:t>Εκδοθέντα</w:t>
            </w:r>
            <w:proofErr w:type="spellEnd"/>
            <w:r w:rsidRPr="00766C72">
              <w:rPr>
                <w:rFonts w:ascii="Calibri" w:hAnsi="Calibri" w:cs="Calibri"/>
                <w:sz w:val="18"/>
                <w:szCs w:val="18"/>
              </w:rPr>
              <w:t xml:space="preserve"> ΜΑΝ προς σύνολο πληθυσμού)</w:t>
            </w:r>
          </w:p>
        </w:tc>
        <w:tc>
          <w:tcPr>
            <w:tcW w:w="1651"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Δείκτης Αποτελεσματικότητας (ΜΑΝ που έκαναν χρήση προς σύνολο πληθυσμού)</w:t>
            </w:r>
          </w:p>
        </w:tc>
        <w:tc>
          <w:tcPr>
            <w:tcW w:w="938"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 xml:space="preserve">Συνολικός αριθμός </w:t>
            </w:r>
            <w:proofErr w:type="spellStart"/>
            <w:r w:rsidRPr="00766C72">
              <w:rPr>
                <w:rFonts w:ascii="Calibri" w:hAnsi="Calibri" w:cs="Calibri"/>
                <w:sz w:val="18"/>
                <w:szCs w:val="18"/>
              </w:rPr>
              <w:t>εκδοθέντων</w:t>
            </w:r>
            <w:proofErr w:type="spellEnd"/>
            <w:r w:rsidRPr="00766C72">
              <w:rPr>
                <w:rFonts w:ascii="Calibri" w:hAnsi="Calibri" w:cs="Calibri"/>
                <w:sz w:val="18"/>
                <w:szCs w:val="18"/>
              </w:rPr>
              <w:t xml:space="preserve"> ΜΑΝ</w:t>
            </w:r>
          </w:p>
        </w:tc>
        <w:tc>
          <w:tcPr>
            <w:tcW w:w="855" w:type="dxa"/>
            <w:shd w:val="clear" w:color="auto" w:fill="auto"/>
            <w:vAlign w:val="center"/>
            <w:hideMark/>
          </w:tcPr>
          <w:p w:rsidR="00FB4CF3" w:rsidRPr="00766C72" w:rsidRDefault="00FB4CF3" w:rsidP="00BB6754">
            <w:pPr>
              <w:jc w:val="center"/>
              <w:rPr>
                <w:rFonts w:ascii="Calibri" w:hAnsi="Calibri" w:cs="Calibri"/>
                <w:sz w:val="18"/>
                <w:szCs w:val="18"/>
              </w:rPr>
            </w:pPr>
            <w:r w:rsidRPr="00766C72">
              <w:rPr>
                <w:rFonts w:ascii="Calibri" w:hAnsi="Calibri" w:cs="Calibri"/>
                <w:sz w:val="18"/>
                <w:szCs w:val="18"/>
              </w:rPr>
              <w:t>Αριθμός ΜΑΝ  που έκαναν χρήση του μέτρου</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16</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ΣΙΦΝΟΣ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2.625</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96%</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74%</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2.508</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1.945</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ΚΥΘΝΟΣ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1.456</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88%</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66%</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1.282</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961</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44</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ΚΑΣΟΣ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1.084</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76%</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62%</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824</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673</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23</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ΠΑΤΜΟΣ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3.047</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78%</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60%</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2.368</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1.817</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25</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ΣΥΜΗ</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2.590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71%</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59%</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1.843</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1.522</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27</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ΙΟΣ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2.024</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76%</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1.537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1.163</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ΣΥΡΟΣ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21.507</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72%</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15.450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12.299</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ΥΔΡΑ</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1.966</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75%</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1.472</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1.113</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41</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ΑΝΤΙΠΑΡΟΣ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1.211</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83%</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55%</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1.007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661</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26</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ΣΕΡΙΦΟΣ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1.420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65%</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54%</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928</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769</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30</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ΚΕΑ</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2.455</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61%</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52%</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1.499</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1.272</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42</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ΝΙΣΥΡΟΣ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1.008</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517</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29</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ΣΑΜΟΘΡΑΚΗ</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2.859</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1.787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1.451</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ΤΗΝΟΣ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8.636</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65%</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5.591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4.368</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20</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ΣΚΟΠΕΛΟΣ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4.960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3.340</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2.486</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ΠΑΡΟΣ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13.715</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74%</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10.201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6.874</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ΜΗΛΟΣ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5.887</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4.010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2.865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ΣΚΙΑΘΟΣ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6.088</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69%</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4.223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2.859</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ΑΝΔΡΟΣ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9.221</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61%</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5.640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4.317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ΛΕΡΟΣ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7.917</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4.978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3.695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ΙΚΑΡΙΑ</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8.423</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62%</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45%</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5.259</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3.826</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22</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ΠΟΡΟΣ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3.993</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73%</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45%</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2.918</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1.799</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ΑΓΚΙΣΤΡΙ</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1.142</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44%</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567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504</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ΦΟΥΡΝΟΙ</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1.459</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56%</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819</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632</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39</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ΑΜΟΡΓΟΣ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1.973</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55%</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42%</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1.091</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827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ΝΑΞΟΣ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18.904</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11.928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7.634</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31</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ΑΛΟΝΝΗΣΟΣ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2.750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52%</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1.439</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1.099</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34</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ΦΟΛΕΓΑΝΔΡΟΣ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1.309</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46%</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607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518</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ΧΙΟΣ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51.390</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39%</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29.697</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19.820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lastRenderedPageBreak/>
              <w:t>11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ΑΙΓΙΝΑ</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13.056</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6.313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4.984</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48</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ΛΕΙΨΟΙ</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975</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490</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370</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ΑΣΤΥΠΑΛΑΙΑ</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1.334</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60%</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36%</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799</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ΚΑΛΥΜΝΟΣ</w:t>
            </w:r>
          </w:p>
        </w:tc>
        <w:tc>
          <w:tcPr>
            <w:tcW w:w="1003" w:type="dxa"/>
            <w:shd w:val="clear" w:color="auto" w:fill="auto"/>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16.179</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36%</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9.308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5.775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ΚΩΣ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33.388</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56%</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18.543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10.888</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45</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ΚΥΘΗΡΑ</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4.041</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1.742</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1.303</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46</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ΠΑΞΟΙ</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2.300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31%</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1.091</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702</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ΣΑΜΟΣ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32.977</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50%</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30%</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16.409</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9.934</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ΛΕΣΒΟΣ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86.436</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29%</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41.441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24.715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37</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ΚΑΡΠΑΘΟΣ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6.226</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53%</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26%</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3.279</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1.611</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ΤΗΛΟΣ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1.750</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30%</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527</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424</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28</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ΣΠΕΤΣΕΣ</w:t>
            </w:r>
          </w:p>
        </w:tc>
        <w:tc>
          <w:tcPr>
            <w:tcW w:w="1003" w:type="dxa"/>
            <w:shd w:val="clear" w:color="000000" w:fill="C5D9F1"/>
            <w:noWrap/>
            <w:vAlign w:val="bottom"/>
            <w:hideMark/>
          </w:tcPr>
          <w:p w:rsidR="00FB4CF3" w:rsidRPr="00766C72" w:rsidRDefault="00FB4CF3" w:rsidP="00BB6754">
            <w:pPr>
              <w:jc w:val="right"/>
              <w:rPr>
                <w:rFonts w:ascii="Arial" w:hAnsi="Arial" w:cs="Arial"/>
                <w:color w:val="000000"/>
                <w:sz w:val="18"/>
                <w:szCs w:val="18"/>
              </w:rPr>
            </w:pPr>
            <w:r w:rsidRPr="00766C72">
              <w:rPr>
                <w:rFonts w:ascii="Arial" w:hAnsi="Arial" w:cs="Arial"/>
                <w:color w:val="000000"/>
                <w:sz w:val="18"/>
                <w:szCs w:val="18"/>
              </w:rPr>
              <w:t>4.027</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23%</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1.620</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918</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ΜΥΚΟΝΟΣ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10.134</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41%</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23%</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4.145</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2.292</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ΘΗΡΑ</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15.550</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47%</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7.355</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3.322</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ΛΗΜΝΟΣ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17.262</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33%</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20%</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5.733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3.442</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52</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ΙΘΑΚΗ</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3.231</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34%</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1.103</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578</w:t>
            </w:r>
          </w:p>
        </w:tc>
      </w:tr>
      <w:tr w:rsidR="00FB4CF3" w:rsidRPr="00766C72" w:rsidTr="00BB6754">
        <w:trPr>
          <w:trHeight w:val="300"/>
        </w:trPr>
        <w:tc>
          <w:tcPr>
            <w:tcW w:w="623" w:type="dxa"/>
            <w:shd w:val="clear" w:color="auto" w:fill="auto"/>
            <w:vAlign w:val="bottom"/>
            <w:hideMark/>
          </w:tcPr>
          <w:p w:rsidR="00FB4CF3" w:rsidRPr="00766C72" w:rsidRDefault="00FB4CF3" w:rsidP="00BB6754">
            <w:pPr>
              <w:rPr>
                <w:rFonts w:ascii="Calibri" w:hAnsi="Calibri" w:cs="Calibri"/>
                <w:sz w:val="18"/>
                <w:szCs w:val="18"/>
              </w:rPr>
            </w:pP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ΡΟΔΟΣ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115.490</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43.358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17.494</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55</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ΟΙΝΟΥΣΣΕΣ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1.284</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314</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192</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54</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ΣΚΥΡΟΣ</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2.994</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22%</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662</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389</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ΚΕΡΚΥΡΑ</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102.071</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19.863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11.708</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36</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ΚΕΦΑΛΛΟΝΙΑ</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35.801</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19%</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6.766</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3.620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35</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ΖΑΚΥΝΘΟΣ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40.759</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8%</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5.427</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3.210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ΘΑΣΟΣ</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13.770</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w:t>
            </w:r>
          </w:p>
        </w:tc>
        <w:tc>
          <w:tcPr>
            <w:tcW w:w="1651"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w:t>
            </w: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1.438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795</w:t>
            </w:r>
          </w:p>
        </w:tc>
      </w:tr>
      <w:tr w:rsidR="00FB4CF3" w:rsidRPr="00766C72" w:rsidTr="00BB6754">
        <w:trPr>
          <w:trHeight w:val="300"/>
        </w:trPr>
        <w:tc>
          <w:tcPr>
            <w:tcW w:w="62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74</w:t>
            </w:r>
          </w:p>
        </w:tc>
        <w:tc>
          <w:tcPr>
            <w:tcW w:w="1311" w:type="dxa"/>
            <w:shd w:val="clear" w:color="000000" w:fill="C5D9F1"/>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ΜΕΓΑΝΗΣΙ</w:t>
            </w:r>
          </w:p>
        </w:tc>
        <w:tc>
          <w:tcPr>
            <w:tcW w:w="1003"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1.041</w:t>
            </w:r>
          </w:p>
        </w:tc>
        <w:tc>
          <w:tcPr>
            <w:tcW w:w="1059"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w:t>
            </w:r>
          </w:p>
        </w:tc>
        <w:tc>
          <w:tcPr>
            <w:tcW w:w="1651"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c>
          <w:tcPr>
            <w:tcW w:w="938"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18</w:t>
            </w:r>
          </w:p>
        </w:tc>
        <w:tc>
          <w:tcPr>
            <w:tcW w:w="855" w:type="dxa"/>
            <w:shd w:val="clear" w:color="000000" w:fill="C5D9F1"/>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r>
      <w:tr w:rsidR="00FB4CF3" w:rsidRPr="00766C72" w:rsidTr="00BB6754">
        <w:trPr>
          <w:trHeight w:val="495"/>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56</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ΚΟΥΦΟΝΗΣΙ (ΑΝΩ)</w:t>
            </w:r>
          </w:p>
        </w:tc>
        <w:tc>
          <w:tcPr>
            <w:tcW w:w="100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157</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100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38</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ΚΙΜΩΛΟΣ</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532</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49</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ΨΑΡΑ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320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53</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ΑΝΑΦΗ</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173</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57</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ΣΙΚΙΝΟΣ</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163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127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58</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ΗΡΑΚΛΕΙΑ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78</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59</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ΣΧΟΙΝΟΥΣΑ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76</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60</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ΔΟΝΟΥΣΑ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71</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ΑΓΑΘΟΝΗΣΙ</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42</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62</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ΘΥΜΑΙΝΑ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96</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66</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ΚΑΣΤΕΛΟΡΙΖΟ</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54</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64</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ΧΑΛΚΗ</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111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46</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lastRenderedPageBreak/>
              <w:t>65</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ΨΕΡΙΜΟΣ</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30</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66</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ΘΗΡΑΣΙΑ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w:t>
            </w:r>
          </w:p>
        </w:tc>
      </w:tr>
      <w:tr w:rsidR="00FB4CF3" w:rsidRPr="00766C72" w:rsidTr="00BB6754">
        <w:trPr>
          <w:trHeight w:val="495"/>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67</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ΑΓΙΟΣ ΕΥΣΤΡΑΤΙΟΣ</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53</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27</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68</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ΑΝΤΙΚΥΘΗΡΑ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21</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69</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ΕΡΕΙΚΟΥΣΑ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70</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ΟΘΩΝΟΙ</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5</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71</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ΜΑΘΡΑΚΙ</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6</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3</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72</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ΑΝΤΙΠΑΞΟΙ</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73</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ΕΛΑΦΟΝΗΣΟΣ</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1</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r>
      <w:tr w:rsidR="00FB4CF3" w:rsidRPr="00766C72" w:rsidTr="00BB6754">
        <w:trPr>
          <w:trHeight w:val="300"/>
        </w:trPr>
        <w:tc>
          <w:tcPr>
            <w:tcW w:w="623"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75</w:t>
            </w:r>
          </w:p>
        </w:tc>
        <w:tc>
          <w:tcPr>
            <w:tcW w:w="1311" w:type="dxa"/>
            <w:shd w:val="clear" w:color="auto" w:fill="auto"/>
            <w:vAlign w:val="bottom"/>
            <w:hideMark/>
          </w:tcPr>
          <w:p w:rsidR="00FB4CF3" w:rsidRPr="00766C72" w:rsidRDefault="00FB4CF3" w:rsidP="00BB6754">
            <w:pPr>
              <w:rPr>
                <w:rFonts w:ascii="Calibri" w:hAnsi="Calibri" w:cs="Calibri"/>
                <w:sz w:val="18"/>
                <w:szCs w:val="18"/>
              </w:rPr>
            </w:pPr>
            <w:r w:rsidRPr="00766C72">
              <w:rPr>
                <w:rFonts w:ascii="Calibri" w:hAnsi="Calibri" w:cs="Calibri"/>
                <w:sz w:val="18"/>
                <w:szCs w:val="18"/>
              </w:rPr>
              <w:t>ΣΑΛΑΜΙΝΑ</w:t>
            </w:r>
          </w:p>
        </w:tc>
        <w:tc>
          <w:tcPr>
            <w:tcW w:w="1003" w:type="dxa"/>
            <w:shd w:val="clear" w:color="auto" w:fill="auto"/>
            <w:vAlign w:val="bottom"/>
            <w:hideMark/>
          </w:tcPr>
          <w:p w:rsidR="00FB4CF3" w:rsidRPr="00766C72" w:rsidRDefault="00FB4CF3" w:rsidP="00BB6754">
            <w:pPr>
              <w:rPr>
                <w:rFonts w:ascii="Calibri" w:hAnsi="Calibri" w:cs="Calibri"/>
                <w:sz w:val="18"/>
                <w:szCs w:val="18"/>
              </w:rPr>
            </w:pPr>
          </w:p>
        </w:tc>
        <w:tc>
          <w:tcPr>
            <w:tcW w:w="1059" w:type="dxa"/>
            <w:shd w:val="clear" w:color="auto" w:fill="auto"/>
            <w:vAlign w:val="bottom"/>
            <w:hideMark/>
          </w:tcPr>
          <w:p w:rsidR="00FB4CF3" w:rsidRPr="00766C72" w:rsidRDefault="00FB4CF3" w:rsidP="00BB6754">
            <w:pPr>
              <w:rPr>
                <w:rFonts w:ascii="Calibri" w:hAnsi="Calibri" w:cs="Calibri"/>
                <w:sz w:val="18"/>
                <w:szCs w:val="18"/>
              </w:rPr>
            </w:pPr>
          </w:p>
        </w:tc>
        <w:tc>
          <w:tcPr>
            <w:tcW w:w="1651" w:type="dxa"/>
            <w:shd w:val="clear" w:color="auto" w:fill="auto"/>
            <w:vAlign w:val="bottom"/>
            <w:hideMark/>
          </w:tcPr>
          <w:p w:rsidR="00FB4CF3" w:rsidRPr="00766C72" w:rsidRDefault="00FB4CF3" w:rsidP="00BB6754">
            <w:pPr>
              <w:rPr>
                <w:rFonts w:ascii="Calibri" w:hAnsi="Calibri" w:cs="Calibri"/>
                <w:sz w:val="18"/>
                <w:szCs w:val="18"/>
              </w:rPr>
            </w:pPr>
          </w:p>
        </w:tc>
        <w:tc>
          <w:tcPr>
            <w:tcW w:w="938"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445</w:t>
            </w:r>
          </w:p>
        </w:tc>
        <w:tc>
          <w:tcPr>
            <w:tcW w:w="855"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0</w:t>
            </w:r>
          </w:p>
        </w:tc>
      </w:tr>
      <w:tr w:rsidR="00FB4CF3" w:rsidRPr="00766C72" w:rsidTr="00BB6754">
        <w:trPr>
          <w:trHeight w:val="300"/>
        </w:trPr>
        <w:tc>
          <w:tcPr>
            <w:tcW w:w="623" w:type="dxa"/>
            <w:shd w:val="clear" w:color="auto" w:fill="auto"/>
            <w:noWrap/>
            <w:vAlign w:val="bottom"/>
            <w:hideMark/>
          </w:tcPr>
          <w:p w:rsidR="00FB4CF3" w:rsidRPr="00766C72" w:rsidRDefault="00FB4CF3" w:rsidP="00BB6754">
            <w:pPr>
              <w:rPr>
                <w:rFonts w:ascii="Calibri" w:hAnsi="Calibri" w:cs="Calibri"/>
              </w:rPr>
            </w:pPr>
          </w:p>
        </w:tc>
        <w:tc>
          <w:tcPr>
            <w:tcW w:w="1311" w:type="dxa"/>
            <w:shd w:val="clear" w:color="auto" w:fill="auto"/>
            <w:noWrap/>
            <w:vAlign w:val="bottom"/>
            <w:hideMark/>
          </w:tcPr>
          <w:p w:rsidR="00FB4CF3" w:rsidRPr="00766C72" w:rsidRDefault="00FB4CF3" w:rsidP="00BB6754">
            <w:pPr>
              <w:rPr>
                <w:rFonts w:ascii="Calibri" w:hAnsi="Calibri" w:cs="Calibri"/>
              </w:rPr>
            </w:pPr>
          </w:p>
        </w:tc>
        <w:tc>
          <w:tcPr>
            <w:tcW w:w="1003" w:type="dxa"/>
            <w:shd w:val="clear" w:color="auto" w:fill="auto"/>
            <w:noWrap/>
            <w:vAlign w:val="bottom"/>
            <w:hideMark/>
          </w:tcPr>
          <w:p w:rsidR="00FB4CF3" w:rsidRPr="00766C72" w:rsidRDefault="00FB4CF3" w:rsidP="00BB6754">
            <w:pPr>
              <w:jc w:val="right"/>
              <w:rPr>
                <w:rFonts w:ascii="Calibri" w:hAnsi="Calibri" w:cs="Calibri"/>
              </w:rPr>
            </w:pPr>
            <w:r w:rsidRPr="00766C72">
              <w:rPr>
                <w:rFonts w:ascii="Calibri" w:hAnsi="Calibri" w:cs="Calibri"/>
              </w:rPr>
              <w:t>755.095</w:t>
            </w:r>
          </w:p>
        </w:tc>
        <w:tc>
          <w:tcPr>
            <w:tcW w:w="1059" w:type="dxa"/>
            <w:shd w:val="clear" w:color="auto" w:fill="auto"/>
            <w:vAlign w:val="bottom"/>
            <w:hideMark/>
          </w:tcPr>
          <w:p w:rsidR="00FB4CF3" w:rsidRPr="00766C72" w:rsidRDefault="00FB4CF3" w:rsidP="00BB6754">
            <w:pPr>
              <w:jc w:val="right"/>
              <w:rPr>
                <w:rFonts w:ascii="Calibri" w:hAnsi="Calibri" w:cs="Calibri"/>
                <w:sz w:val="18"/>
                <w:szCs w:val="18"/>
              </w:rPr>
            </w:pPr>
            <w:r w:rsidRPr="00766C72">
              <w:rPr>
                <w:rFonts w:ascii="Calibri" w:hAnsi="Calibri" w:cs="Calibri"/>
                <w:sz w:val="18"/>
                <w:szCs w:val="18"/>
              </w:rPr>
              <w:t>27%</w:t>
            </w:r>
          </w:p>
        </w:tc>
        <w:tc>
          <w:tcPr>
            <w:tcW w:w="1651" w:type="dxa"/>
            <w:shd w:val="clear" w:color="auto" w:fill="auto"/>
            <w:noWrap/>
            <w:vAlign w:val="bottom"/>
            <w:hideMark/>
          </w:tcPr>
          <w:p w:rsidR="00FB4CF3" w:rsidRPr="00766C72" w:rsidRDefault="00FB4CF3" w:rsidP="00BB6754">
            <w:pPr>
              <w:rPr>
                <w:rFonts w:ascii="Calibri" w:hAnsi="Calibri" w:cs="Calibri"/>
              </w:rPr>
            </w:pPr>
          </w:p>
        </w:tc>
        <w:tc>
          <w:tcPr>
            <w:tcW w:w="938" w:type="dxa"/>
            <w:shd w:val="clear" w:color="auto" w:fill="auto"/>
            <w:noWrap/>
            <w:vAlign w:val="bottom"/>
            <w:hideMark/>
          </w:tcPr>
          <w:p w:rsidR="00FB4CF3" w:rsidRPr="00766C72" w:rsidRDefault="00FB4CF3" w:rsidP="00BB6754">
            <w:pPr>
              <w:jc w:val="right"/>
              <w:rPr>
                <w:rFonts w:ascii="Calibri" w:hAnsi="Calibri" w:cs="Calibri"/>
              </w:rPr>
            </w:pPr>
            <w:r w:rsidRPr="00766C72">
              <w:rPr>
                <w:rFonts w:ascii="Calibri" w:hAnsi="Calibri" w:cs="Calibri"/>
              </w:rPr>
              <w:t>326.214</w:t>
            </w:r>
          </w:p>
        </w:tc>
        <w:tc>
          <w:tcPr>
            <w:tcW w:w="855" w:type="dxa"/>
            <w:shd w:val="clear" w:color="auto" w:fill="auto"/>
            <w:noWrap/>
            <w:vAlign w:val="bottom"/>
            <w:hideMark/>
          </w:tcPr>
          <w:p w:rsidR="00FB4CF3" w:rsidRPr="00766C72" w:rsidRDefault="00FB4CF3" w:rsidP="00BB6754">
            <w:pPr>
              <w:jc w:val="right"/>
              <w:rPr>
                <w:rFonts w:ascii="Calibri" w:hAnsi="Calibri" w:cs="Calibri"/>
              </w:rPr>
            </w:pPr>
            <w:r w:rsidRPr="00766C72">
              <w:rPr>
                <w:rFonts w:ascii="Calibri" w:hAnsi="Calibri" w:cs="Calibri"/>
              </w:rPr>
              <w:t>201.126</w:t>
            </w:r>
          </w:p>
        </w:tc>
      </w:tr>
    </w:tbl>
    <w:p w:rsidR="00FB4CF3" w:rsidRDefault="00FB4CF3" w:rsidP="00FB4CF3">
      <w:pPr>
        <w:rPr>
          <w:b/>
        </w:rPr>
      </w:pPr>
    </w:p>
    <w:p w:rsidR="00FB4CF3" w:rsidRPr="00AE6043" w:rsidRDefault="00FB4CF3" w:rsidP="00FB4CF3">
      <w:pPr>
        <w:rPr>
          <w:b/>
        </w:rPr>
      </w:pPr>
      <w:r w:rsidRPr="00AE6043">
        <w:rPr>
          <w:b/>
        </w:rPr>
        <w:t xml:space="preserve">Πηγή: </w:t>
      </w:r>
      <w:r w:rsidRPr="00AE6043">
        <w:t>Στοιχεία ΓΓΑΙΓΝΠ (2019), ΕΛΣΤΑΤ (2011), Ιδία επεξεργασία</w:t>
      </w:r>
    </w:p>
    <w:p w:rsidR="00FB4CF3" w:rsidRPr="00AE6043" w:rsidRDefault="00FB4CF3" w:rsidP="00FB4CF3">
      <w:pPr>
        <w:jc w:val="both"/>
        <w:rPr>
          <w:i/>
          <w:sz w:val="18"/>
          <w:szCs w:val="18"/>
        </w:rPr>
      </w:pPr>
      <w:r w:rsidRPr="00AE6043">
        <w:rPr>
          <w:i/>
          <w:sz w:val="18"/>
          <w:szCs w:val="18"/>
        </w:rPr>
        <w:t xml:space="preserve">Σημείωση: Με μπλε χρώμα επισημαίνονται τα νησιά με πληθυσμό κάτω από 5.000 κατοίκους </w:t>
      </w:r>
    </w:p>
    <w:p w:rsidR="00FB4CF3" w:rsidRPr="00FB4CF3" w:rsidRDefault="00FB4CF3" w:rsidP="00FB4CF3">
      <w:pPr>
        <w:spacing w:after="160" w:line="259" w:lineRule="auto"/>
        <w:jc w:val="both"/>
        <w:rPr>
          <w:rFonts w:asciiTheme="minorHAnsi" w:hAnsiTheme="minorHAnsi"/>
          <w:lang w:eastAsia="en-US"/>
        </w:rPr>
      </w:pPr>
    </w:p>
    <w:p w:rsidR="00FB4CF3" w:rsidRPr="003C6E41" w:rsidRDefault="00FB4CF3" w:rsidP="00FB4CF3">
      <w:pPr>
        <w:jc w:val="center"/>
        <w:rPr>
          <w:b/>
          <w:sz w:val="28"/>
          <w:szCs w:val="28"/>
        </w:rPr>
      </w:pPr>
      <w:r w:rsidRPr="006C6E6B">
        <w:rPr>
          <w:b/>
          <w:sz w:val="28"/>
          <w:szCs w:val="28"/>
        </w:rPr>
        <w:t xml:space="preserve">ΠΟΡΕΙΑ ΥΛΟΠΟΙΗΣΗΣ Μ.Ι. (Ν 4551/2018) ΓΙΑ </w:t>
      </w:r>
      <w:r>
        <w:rPr>
          <w:b/>
          <w:sz w:val="28"/>
          <w:szCs w:val="28"/>
        </w:rPr>
        <w:t>ΕΠΙΧΕΙΡΗΣΕΙΣ</w:t>
      </w:r>
      <w:r w:rsidRPr="006C6E6B">
        <w:rPr>
          <w:b/>
          <w:sz w:val="28"/>
          <w:szCs w:val="28"/>
        </w:rPr>
        <w:t xml:space="preserve"> </w:t>
      </w:r>
    </w:p>
    <w:p w:rsidR="00FB4CF3" w:rsidRDefault="00FB4CF3" w:rsidP="00FB4CF3">
      <w:pPr>
        <w:jc w:val="both"/>
      </w:pPr>
    </w:p>
    <w:p w:rsidR="00FB4CF3" w:rsidRPr="00AE6043" w:rsidRDefault="00FB4CF3" w:rsidP="00FB4CF3">
      <w:pPr>
        <w:jc w:val="both"/>
        <w:rPr>
          <w:b/>
          <w:u w:val="single"/>
        </w:rPr>
      </w:pPr>
      <w:r w:rsidRPr="00AE6043">
        <w:rPr>
          <w:b/>
          <w:u w:val="single"/>
        </w:rPr>
        <w:t>Γενικές επισημάνσεις:</w:t>
      </w:r>
    </w:p>
    <w:p w:rsidR="00FB4CF3" w:rsidRDefault="00FB4CF3" w:rsidP="00FB4CF3">
      <w:pPr>
        <w:pStyle w:val="a6"/>
        <w:numPr>
          <w:ilvl w:val="0"/>
          <w:numId w:val="19"/>
        </w:numPr>
        <w:spacing w:after="200" w:line="276" w:lineRule="auto"/>
        <w:jc w:val="both"/>
      </w:pPr>
      <w:r w:rsidRPr="00D456B2">
        <w:t>4.544</w:t>
      </w:r>
      <w:r>
        <w:t xml:space="preserve"> επιχειρήσεις που συμμετέχουν στο πρόγραμμα και έκαναν χρήση του ΜΙ, επωφελήθηκαν 4,9 εκ </w:t>
      </w:r>
      <w:r w:rsidRPr="00D456B2">
        <w:rPr>
          <w:rFonts w:cstheme="minorHAnsi"/>
        </w:rPr>
        <w:t>€</w:t>
      </w:r>
      <w:r>
        <w:t xml:space="preserve"> περίπου από τη μείωση του μεταφορικού τους κόστους.</w:t>
      </w:r>
    </w:p>
    <w:p w:rsidR="00FB4CF3" w:rsidRDefault="00FB4CF3" w:rsidP="00FB4CF3">
      <w:pPr>
        <w:pStyle w:val="a6"/>
        <w:numPr>
          <w:ilvl w:val="0"/>
          <w:numId w:val="19"/>
        </w:numPr>
        <w:spacing w:after="200" w:line="276" w:lineRule="auto"/>
        <w:jc w:val="both"/>
      </w:pPr>
      <w:r>
        <w:t xml:space="preserve">7 στις 10 επιχειρήσεις που έκαναν αίτηση συμμετοχής στο μέτρο δεν έχουν αιτηθεί χρηματοδότησης και δεν έχουν εισπράξει όφελος από το μέτρο του ΜΙ μέχρι σήμερα. </w:t>
      </w:r>
    </w:p>
    <w:p w:rsidR="00FB4CF3" w:rsidRDefault="00FB4CF3" w:rsidP="00FB4CF3">
      <w:pPr>
        <w:pStyle w:val="a6"/>
        <w:numPr>
          <w:ilvl w:val="0"/>
          <w:numId w:val="19"/>
        </w:numPr>
        <w:spacing w:after="200" w:line="276" w:lineRule="auto"/>
        <w:jc w:val="both"/>
      </w:pPr>
      <w:r>
        <w:t>Το 33% των ωφελούμενων επιχειρήσεων αιτήθηκαν χορήγησης ΑΝΗΚΟ, έκαναν χρήση του μέτρου</w:t>
      </w:r>
    </w:p>
    <w:p w:rsidR="00FB4CF3" w:rsidRDefault="00FB4CF3" w:rsidP="00FB4CF3">
      <w:pPr>
        <w:pStyle w:val="a6"/>
        <w:numPr>
          <w:ilvl w:val="0"/>
          <w:numId w:val="19"/>
        </w:numPr>
        <w:spacing w:after="200" w:line="276" w:lineRule="auto"/>
        <w:jc w:val="both"/>
      </w:pPr>
      <w:r>
        <w:t xml:space="preserve">Στη Μυτιλήνη από τις 9.150 επιχειρήσεις – μέλη του Επιμελητηρίου – οι 1005 έχουν κάνει αίτηση συμμετοχής και οι 642 εξ αυτών αιτήθηκαν και έλαβαν ΑΝΗΚΟ 919.077 ευρώ. Άρα το 10% των επιχειρήσεων της Λέσβου αξιοποίησε τη δυνατότητα επιδότησης του μεταφορικού του κόστους και μόλις το 7% έκανε χρήση της επιδότησης. </w:t>
      </w:r>
    </w:p>
    <w:p w:rsidR="00FB4CF3" w:rsidRDefault="00FB4CF3" w:rsidP="00FB4CF3">
      <w:pPr>
        <w:pStyle w:val="a6"/>
        <w:numPr>
          <w:ilvl w:val="0"/>
          <w:numId w:val="19"/>
        </w:numPr>
        <w:spacing w:after="200" w:line="276" w:lineRule="auto"/>
        <w:jc w:val="both"/>
      </w:pPr>
      <w:r>
        <w:t xml:space="preserve">Στη Ρόδο το 5% των επιχειρήσεων που είναι εγγεγραμμένες στο οικείο επιμελητήριο, έδειξαν ενδιαφέρον ένταξης στις διατάξεις του ΜΙ και εξ αυτών των 1257, μέχρι σήμερα οι 309 αιτήθηκαν χρηματοδότησης ύψους 90 χιλ. </w:t>
      </w:r>
      <w:r>
        <w:rPr>
          <w:rFonts w:cstheme="minorHAnsi"/>
        </w:rPr>
        <w:t>€</w:t>
      </w:r>
      <w:r>
        <w:t xml:space="preserve">. Άρα μόλις το 1,2% των επιχειρήσεων της Ρόδου συμμετέχουν στο πρόγραμμα και έκαναν μέχρι σήμερα χρήση του ΑΝΗΚΟ.  </w:t>
      </w:r>
    </w:p>
    <w:p w:rsidR="00FB4CF3" w:rsidRDefault="00FB4CF3" w:rsidP="00FB4CF3">
      <w:pPr>
        <w:pStyle w:val="a6"/>
        <w:numPr>
          <w:ilvl w:val="0"/>
          <w:numId w:val="19"/>
        </w:numPr>
        <w:spacing w:after="200" w:line="276" w:lineRule="auto"/>
        <w:jc w:val="both"/>
      </w:pPr>
      <w:r>
        <w:lastRenderedPageBreak/>
        <w:t xml:space="preserve">Ομοίως, στη Ζάκυνθο το 1,6% των ενεργών επιχειρήσεων έχει υποβάλει αίτημα συμμετοχής στο Μέτρο και από αυτές τις 156 επιχειρήσεις, οι 16 έχουν αιτηθεί του ΑΝΗΚΟ αντιπροσωπεύοντας το 0,2% των επιχειρήσεων του νησιού που επωφελήθηκαν μέχρι σήμερα από το μέτρο. </w:t>
      </w:r>
    </w:p>
    <w:p w:rsidR="00FB4CF3" w:rsidRDefault="00FB4CF3" w:rsidP="00FB4CF3">
      <w:pPr>
        <w:pStyle w:val="a6"/>
        <w:numPr>
          <w:ilvl w:val="0"/>
          <w:numId w:val="19"/>
        </w:numPr>
        <w:spacing w:after="200" w:line="276" w:lineRule="auto"/>
        <w:jc w:val="both"/>
      </w:pPr>
      <w:r>
        <w:t xml:space="preserve">Πρέπει να ληφθεί υπόψη ότι επιχειρήσεις που ανήκουν στον πρωτογενή τομέα – σε πολλές περιπτώσεις – δεν εγγράφονται στα οικεία επιμελητήρια ή είναι σε ειδικό καθεστώς, επομένως πολλές επιχειρήσεις δύναται να εξαιρούνται της ωφέλειας.  </w:t>
      </w:r>
    </w:p>
    <w:p w:rsidR="00FB4CF3" w:rsidRDefault="00FB4CF3" w:rsidP="00FB4CF3">
      <w:pPr>
        <w:jc w:val="both"/>
      </w:pPr>
    </w:p>
    <w:p w:rsidR="00FB4CF3" w:rsidRPr="003C6E41" w:rsidRDefault="00FB4CF3" w:rsidP="00FB4CF3">
      <w:pPr>
        <w:jc w:val="both"/>
        <w:rPr>
          <w:b/>
        </w:rPr>
      </w:pPr>
      <w:r w:rsidRPr="003C6E41">
        <w:rPr>
          <w:b/>
        </w:rPr>
        <w:t>Πίνακας. Συγκεντρωτική παρουσίαση αποτίμησης εφαρμογής ΜΙ στις επιχειρήσεις</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591"/>
        <w:gridCol w:w="1273"/>
        <w:gridCol w:w="1038"/>
        <w:gridCol w:w="1037"/>
        <w:gridCol w:w="1418"/>
        <w:gridCol w:w="1678"/>
        <w:gridCol w:w="1560"/>
      </w:tblGrid>
      <w:tr w:rsidR="00FB4CF3" w:rsidRPr="00E95EEB" w:rsidTr="00BB6754">
        <w:trPr>
          <w:trHeight w:val="2089"/>
          <w:tblHeader/>
          <w:jc w:val="center"/>
        </w:trPr>
        <w:tc>
          <w:tcPr>
            <w:tcW w:w="551" w:type="dxa"/>
            <w:shd w:val="clear" w:color="auto" w:fill="auto"/>
            <w:noWrap/>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lastRenderedPageBreak/>
              <w:t>α/α</w:t>
            </w:r>
          </w:p>
        </w:tc>
        <w:tc>
          <w:tcPr>
            <w:tcW w:w="1591"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Νησί</w:t>
            </w:r>
          </w:p>
        </w:tc>
        <w:tc>
          <w:tcPr>
            <w:tcW w:w="1273"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Αιτήσεις Συμμετοχής</w:t>
            </w:r>
          </w:p>
        </w:tc>
        <w:tc>
          <w:tcPr>
            <w:tcW w:w="1038"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Αιτήσεις Χρηματοδότησης</w:t>
            </w:r>
          </w:p>
        </w:tc>
        <w:tc>
          <w:tcPr>
            <w:tcW w:w="1037"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Αιτήσεις πληρωμένες</w:t>
            </w:r>
          </w:p>
        </w:tc>
        <w:tc>
          <w:tcPr>
            <w:tcW w:w="1418"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Συνολικά Καταβληθέν ΑΝΗΚΟ (2018 &amp; 1η φάση 2019)</w:t>
            </w:r>
          </w:p>
        </w:tc>
        <w:tc>
          <w:tcPr>
            <w:tcW w:w="1678"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Ποσοστό χρήσης Μέτρου ΜΙ από συμμετέχουσες επιχειρήσεις (πληρωμές/ συμμετοχές)</w:t>
            </w:r>
          </w:p>
        </w:tc>
        <w:tc>
          <w:tcPr>
            <w:tcW w:w="1560" w:type="dxa"/>
            <w:shd w:val="clear" w:color="auto" w:fill="auto"/>
            <w:vAlign w:val="center"/>
            <w:hideMark/>
          </w:tcPr>
          <w:p w:rsidR="00FB4CF3" w:rsidRPr="00E95EEB" w:rsidRDefault="00FB4CF3" w:rsidP="00BB6754">
            <w:pPr>
              <w:jc w:val="center"/>
              <w:rPr>
                <w:rFonts w:cstheme="minorHAnsi"/>
                <w:b/>
                <w:color w:val="000000"/>
                <w:sz w:val="18"/>
                <w:szCs w:val="18"/>
              </w:rPr>
            </w:pPr>
            <w:r w:rsidRPr="00E95EEB">
              <w:rPr>
                <w:rFonts w:cstheme="minorHAnsi"/>
                <w:b/>
                <w:color w:val="000000"/>
                <w:sz w:val="18"/>
                <w:szCs w:val="18"/>
              </w:rPr>
              <w:t xml:space="preserve">Δείκτης οφέλους κατά </w:t>
            </w:r>
            <w:proofErr w:type="spellStart"/>
            <w:r w:rsidRPr="00E95EEB">
              <w:rPr>
                <w:rFonts w:cstheme="minorHAnsi"/>
                <w:b/>
                <w:color w:val="000000"/>
                <w:sz w:val="18"/>
                <w:szCs w:val="18"/>
              </w:rPr>
              <w:t>μ.ο</w:t>
            </w:r>
            <w:proofErr w:type="spellEnd"/>
            <w:r w:rsidRPr="00E95EEB">
              <w:rPr>
                <w:rFonts w:cstheme="minorHAnsi"/>
                <w:b/>
                <w:color w:val="000000"/>
                <w:sz w:val="18"/>
                <w:szCs w:val="18"/>
              </w:rPr>
              <w:t>. από τη χρήση του ΜΙ</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ΜΥΤΙΛΗΝΗ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1005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666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642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919.077,70 €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63,88%</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1.431,59 €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ΧΙΟΣ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905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657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635</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878.496,39 €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70,17%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1.383,46 €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ΚΩΣ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816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488</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461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802.857,51 €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56,50%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1.741,56 €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 xml:space="preserve">ΣΑΜΟΣ </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559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390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370</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584.672,00 €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66,19%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1.580,19 €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ΚΑΛΥΜΝΟΣ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288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190</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429.956,04 €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65,97%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2.262,93 €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ΛΗΜΝΟΣ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300</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257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244</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312.965,02 €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81,33%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1.282,64 €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ΙΚΑΡΙΑ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230</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182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175</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180.381,04 €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76,09%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1.030,75 €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ΚΑΡΠΑΘΟΣ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139.487,04 €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46,33%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1.701,06 €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ΛΕΡΟΣ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116</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136.991,40 €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69,05%</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1.180,96 €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ΡΟΔΟΣ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1257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309</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282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90.629,79 €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22,43%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321,38 €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ΣΑΜΟΘΡΑΚΗ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57.001,07 €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43,08%</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2.035,75 €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ΠΑΤΜΟΣ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38.771,87 €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36,36%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3.230,99 €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ΜΥΚΟΝΟΣ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322</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37.318,34 €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12,73%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910,20 €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ΣΥΡΟΣ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568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99</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36.957,95 €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17,43%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373,31 €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ΝΑΞΟΣ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492</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95</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35.488,79 €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17,89%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403,28 €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ΑΝΔΡΟΣ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78</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30.502,31 €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33,64%</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423,64 €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ΘΗΡΑ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593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75</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26.378,15 €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12,65%</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351,71 €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ΣΙΦΝΟΣ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392</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149</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18.717,99 €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36,22%</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131,82 €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ΣΚΙΑΘΟΣ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352</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16.524,94 €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13,64%</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344,27 €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ΚΕΡΚΥΡΑ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15.411,66 €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12,53%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302,19 €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ΣΥΜΗ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49</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47</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14.745,86 €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47,47%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313,74 €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ΚΟΥΦΟΝΗΣΙ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14.487,34 €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14,29%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4.829,11 €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ΤΗΝΟΣ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271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14.392,83 €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14,76%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359,82 €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ΠΑΡΟΣ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506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12.893,49 €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16,01%</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159,18 €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ΜΗΛΟΣ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12.580,38 €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27,70%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111,33 €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ΚΕΑ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11.575,52 €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23,21%</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890,42 €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ΛΕΙΨΟΙ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9.973,72 €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55,56%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997,37 €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ΑΙΓΙΝΑ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28</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27</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9.806,87 €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20,30%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363,22 €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ΚΕΦΑΛΛΟΝΙΑ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387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57</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9.586,88 €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14,73%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168,19 €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ΦΟΥΡΝΟΙ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9.311,69 €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37,50%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3.103,90 €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lastRenderedPageBreak/>
              <w:t>31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ΖΑΚΥΝΘΟΣ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8.351,38 €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10,26%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521,96 €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ΣΚΟΠΕΛΟΣ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8.037,04 €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23,86%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191,36 €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ΙΘΑΚΗ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7.496,08 €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24,49%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624,67 €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ΚΑΣΟΣ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7.219,71 €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57,14%</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601,64 €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ΑΛΟΝΝΗΣΟΣ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19</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5.762,73 €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18,45%</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303,30 €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ΤΗΛΟΣ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5.503,25 €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1.375,81 €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ΚΙΜΩΛΟΣ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25</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5.249,15 €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39,06%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209,97 €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ΙΟΣ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174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4.922,60 €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6,90%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410,22 €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ΑΝΤΙΠΑΡΟΣ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80</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4.464,70 €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7,50%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744,12 €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ΑΣΤΥΠΑΛΑΙΑ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3.964,25 €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38,10%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495,53 €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ΝΙΣΥΡΟΣ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30</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3.748,84 €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312,40 €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ΘΑΣΟΣ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3.448,33 €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7,80%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313,48 €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ΠΑΞΟΙ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3.014,56 €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20,75%</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137,03 €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ΗΡΑΚΛΕΙΑ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2.599,89 €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42,11%</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324,99 €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ΨΑΡΑ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2.467,62 €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36,36%</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616,91 €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ΑΜΟΡΓΟΣ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100</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1.989,29 €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248,66 €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ΥΔΡΑ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26</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1.466,04 €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38,81%</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56,39 €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ΣΕΡΙΦΟΣ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1.422,61 €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14,63%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237,10 €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ΨΕΡΙΜΟΣ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1.201,98 €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75,00%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400,66 €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ΜΕΓΙΣΤΗ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1.095,44 €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18,18%</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547,72 €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ΑΓΑΘΟΝΗΣΙ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939,27 €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66,67%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469,64 €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ΑΓΙΟΣ ΕΥΣΤΡΑΤΙΟΣ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577,33 €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66,67%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288,67 €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ΚΥΘΗΡΑ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126</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475,28 €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3,97%</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95,06 €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ΦΟΛΕΓΑΝΔΡΟΣ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449,51 €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15,94%</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40,86 €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ΣΚΥΡΟΣ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360,71 €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9,52%</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180,36 €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ΑΝΑΦΗ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310,96 €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16,00%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77,74 €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ΜΕΓΑΝΗΣΙ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201,24 €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201,24 €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ΔΟΝΟΥΣΑ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124,85 €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21,43%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41,62 €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59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ΑΓΚΙΣΤΡΙ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112,17 €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12,50%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112,17 €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ΟΙΝΟΥΣΣΕΣ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88,09 €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14,29%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88,09 €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 xml:space="preserve">ΚΥΘΝΟΣ </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97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78,23 €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78,23 €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ΠΟΡΟΣ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75,96 €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14,29%</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37,98 €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ΣΙΚΙΝΟΣ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13,67 €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13,33%</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6,84 €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ΑΜΜΟΥΛΙΑΝΗ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ΑΝΤΙΠΑΞΟΙ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ΓΑΥΔΟΣ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lastRenderedPageBreak/>
              <w:t>67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ΔΗΛΟΣ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68</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ΕΛΑΦΟΝΗΣΟΣ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69</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ΕΡΕΙΚΟΥΣΑ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70</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ΘΗΡΑΣΙΑ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71</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ΘΥΜΑΙΝΑ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72</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ΚΑΛΑΜΟΣ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19</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73</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ΚΡΗΤΗ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582</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74</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ΜΑΘΡΑΚΙ</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75</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ΣΠΕΤΣΕΣ</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53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76</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ΣΧΟΙΝΟΥΣΑ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8</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77</w:t>
            </w: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ΧΑΛΚΗ</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2</w:t>
            </w: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15,38%</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0,00 €</w:t>
            </w: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rPr>
                <w:rFonts w:cstheme="minorHAnsi"/>
                <w:color w:val="000000"/>
                <w:sz w:val="18"/>
                <w:szCs w:val="18"/>
              </w:rPr>
            </w:pPr>
          </w:p>
        </w:tc>
        <w:tc>
          <w:tcPr>
            <w:tcW w:w="1591" w:type="dxa"/>
            <w:shd w:val="clear" w:color="auto" w:fill="auto"/>
            <w:vAlign w:val="bottom"/>
            <w:hideMark/>
          </w:tcPr>
          <w:p w:rsidR="00FB4CF3" w:rsidRPr="00E95EEB" w:rsidRDefault="00FB4CF3" w:rsidP="00BB6754">
            <w:pPr>
              <w:rPr>
                <w:rFonts w:cstheme="minorHAnsi"/>
                <w:color w:val="000000"/>
                <w:sz w:val="18"/>
                <w:szCs w:val="18"/>
              </w:rPr>
            </w:pP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p>
        </w:tc>
        <w:tc>
          <w:tcPr>
            <w:tcW w:w="1418" w:type="dxa"/>
            <w:shd w:val="clear" w:color="auto" w:fill="auto"/>
            <w:vAlign w:val="bottom"/>
            <w:hideMark/>
          </w:tcPr>
          <w:p w:rsidR="00FB4CF3" w:rsidRPr="00E95EEB" w:rsidRDefault="00FB4CF3" w:rsidP="00BB6754">
            <w:pPr>
              <w:rPr>
                <w:rFonts w:cstheme="minorHAnsi"/>
                <w:color w:val="000000"/>
                <w:sz w:val="18"/>
                <w:szCs w:val="18"/>
              </w:rPr>
            </w:pP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p>
        </w:tc>
      </w:tr>
      <w:tr w:rsidR="00FB4CF3" w:rsidRPr="00E95EEB" w:rsidTr="00BB6754">
        <w:trPr>
          <w:trHeight w:val="300"/>
          <w:tblHeader/>
          <w:jc w:val="center"/>
        </w:trPr>
        <w:tc>
          <w:tcPr>
            <w:tcW w:w="551" w:type="dxa"/>
            <w:shd w:val="clear" w:color="auto" w:fill="auto"/>
            <w:noWrap/>
            <w:vAlign w:val="bottom"/>
            <w:hideMark/>
          </w:tcPr>
          <w:p w:rsidR="00FB4CF3" w:rsidRPr="00E95EEB" w:rsidRDefault="00FB4CF3" w:rsidP="00BB6754">
            <w:pPr>
              <w:rPr>
                <w:rFonts w:cstheme="minorHAnsi"/>
                <w:color w:val="000000"/>
                <w:sz w:val="18"/>
                <w:szCs w:val="18"/>
              </w:rPr>
            </w:pPr>
          </w:p>
        </w:tc>
        <w:tc>
          <w:tcPr>
            <w:tcW w:w="1591" w:type="dxa"/>
            <w:shd w:val="clear" w:color="auto" w:fill="auto"/>
            <w:vAlign w:val="bottom"/>
            <w:hideMark/>
          </w:tcPr>
          <w:p w:rsidR="00FB4CF3" w:rsidRPr="00E95EEB" w:rsidRDefault="00FB4CF3" w:rsidP="00BB6754">
            <w:pPr>
              <w:rPr>
                <w:rFonts w:cstheme="minorHAnsi"/>
                <w:color w:val="000000"/>
                <w:sz w:val="18"/>
                <w:szCs w:val="18"/>
              </w:rPr>
            </w:pPr>
            <w:r w:rsidRPr="00E95EEB">
              <w:rPr>
                <w:rFonts w:cstheme="minorHAnsi"/>
                <w:color w:val="000000"/>
                <w:sz w:val="18"/>
                <w:szCs w:val="18"/>
              </w:rPr>
              <w:t>ΣΥΝΟΛΑ</w:t>
            </w:r>
          </w:p>
        </w:tc>
        <w:tc>
          <w:tcPr>
            <w:tcW w:w="1273"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13.547</w:t>
            </w:r>
          </w:p>
        </w:tc>
        <w:tc>
          <w:tcPr>
            <w:tcW w:w="103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4.820</w:t>
            </w:r>
          </w:p>
        </w:tc>
        <w:tc>
          <w:tcPr>
            <w:tcW w:w="1037"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4.544</w:t>
            </w:r>
          </w:p>
        </w:tc>
        <w:tc>
          <w:tcPr>
            <w:tcW w:w="1418" w:type="dxa"/>
            <w:shd w:val="clear" w:color="auto" w:fill="auto"/>
            <w:vAlign w:val="bottom"/>
            <w:hideMark/>
          </w:tcPr>
          <w:p w:rsidR="00FB4CF3" w:rsidRPr="00E95EEB" w:rsidRDefault="00FB4CF3" w:rsidP="00BB6754">
            <w:pPr>
              <w:jc w:val="right"/>
              <w:rPr>
                <w:rFonts w:cstheme="minorHAnsi"/>
                <w:color w:val="000000"/>
                <w:sz w:val="18"/>
                <w:szCs w:val="18"/>
              </w:rPr>
            </w:pPr>
            <w:r w:rsidRPr="00E95EEB">
              <w:rPr>
                <w:rFonts w:cstheme="minorHAnsi"/>
                <w:color w:val="000000"/>
                <w:sz w:val="18"/>
                <w:szCs w:val="18"/>
              </w:rPr>
              <w:t>4.995.174,34 €</w:t>
            </w:r>
          </w:p>
        </w:tc>
        <w:tc>
          <w:tcPr>
            <w:tcW w:w="1678"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33,54%</w:t>
            </w:r>
          </w:p>
        </w:tc>
        <w:tc>
          <w:tcPr>
            <w:tcW w:w="1560" w:type="dxa"/>
            <w:shd w:val="clear" w:color="auto" w:fill="auto"/>
            <w:vAlign w:val="center"/>
            <w:hideMark/>
          </w:tcPr>
          <w:p w:rsidR="00FB4CF3" w:rsidRPr="00E95EEB" w:rsidRDefault="00FB4CF3" w:rsidP="00BB6754">
            <w:pPr>
              <w:jc w:val="center"/>
              <w:rPr>
                <w:rFonts w:cstheme="minorHAnsi"/>
                <w:color w:val="000000"/>
                <w:sz w:val="18"/>
                <w:szCs w:val="18"/>
              </w:rPr>
            </w:pPr>
            <w:r w:rsidRPr="00E95EEB">
              <w:rPr>
                <w:rFonts w:cstheme="minorHAnsi"/>
                <w:color w:val="000000"/>
                <w:sz w:val="18"/>
                <w:szCs w:val="18"/>
              </w:rPr>
              <w:t>1.099,29 €</w:t>
            </w:r>
          </w:p>
        </w:tc>
      </w:tr>
    </w:tbl>
    <w:p w:rsidR="00FB4CF3" w:rsidRDefault="00FB4CF3" w:rsidP="00FB4CF3"/>
    <w:p w:rsidR="00FB4CF3" w:rsidRDefault="00FB4CF3" w:rsidP="00FB4CF3">
      <w:r w:rsidRPr="003C6E41">
        <w:rPr>
          <w:b/>
        </w:rPr>
        <w:t>Πηγή</w:t>
      </w:r>
      <w:r>
        <w:t xml:space="preserve">: ΓΓΑΙΓΝΠ (2019), Ιδία επεξεργασία </w:t>
      </w:r>
    </w:p>
    <w:p w:rsidR="00EA41FF" w:rsidRDefault="00EA41FF" w:rsidP="0088720D">
      <w:pPr>
        <w:spacing w:after="160" w:line="259" w:lineRule="auto"/>
        <w:jc w:val="both"/>
        <w:rPr>
          <w:rFonts w:asciiTheme="minorHAnsi" w:hAnsiTheme="minorHAnsi"/>
          <w:lang w:eastAsia="en-US"/>
        </w:rPr>
      </w:pPr>
    </w:p>
    <w:p w:rsidR="00EE0DA1" w:rsidRDefault="00EE0DA1" w:rsidP="0088720D">
      <w:pPr>
        <w:spacing w:after="160" w:line="259" w:lineRule="auto"/>
        <w:jc w:val="both"/>
        <w:rPr>
          <w:rFonts w:asciiTheme="minorHAnsi" w:hAnsiTheme="minorHAnsi"/>
          <w:lang w:eastAsia="en-US"/>
        </w:rPr>
      </w:pPr>
    </w:p>
    <w:p w:rsidR="00FB4CF3" w:rsidRDefault="00FB4CF3" w:rsidP="0088720D">
      <w:pPr>
        <w:spacing w:after="160" w:line="259" w:lineRule="auto"/>
        <w:jc w:val="both"/>
        <w:rPr>
          <w:rFonts w:asciiTheme="minorHAnsi" w:hAnsiTheme="minorHAnsi"/>
          <w:lang w:eastAsia="en-US"/>
        </w:rPr>
      </w:pPr>
    </w:p>
    <w:p w:rsidR="00866C47" w:rsidRDefault="00866C47" w:rsidP="0088720D">
      <w:pPr>
        <w:spacing w:after="160" w:line="259" w:lineRule="auto"/>
        <w:jc w:val="both"/>
        <w:rPr>
          <w:rFonts w:asciiTheme="minorHAnsi" w:hAnsiTheme="minorHAnsi"/>
          <w:lang w:eastAsia="en-US"/>
        </w:rPr>
      </w:pPr>
    </w:p>
    <w:p w:rsidR="00102793" w:rsidRPr="00037E47" w:rsidRDefault="00020CCE" w:rsidP="00EA7737">
      <w:pPr>
        <w:jc w:val="center"/>
        <w:rPr>
          <w:rFonts w:asciiTheme="minorHAnsi" w:hAnsiTheme="minorHAnsi"/>
          <w:lang w:eastAsia="en-US"/>
        </w:rPr>
      </w:pPr>
      <w:r w:rsidRPr="00037E47">
        <w:rPr>
          <w:rFonts w:asciiTheme="minorHAnsi" w:hAnsiTheme="minorHAnsi"/>
          <w:lang w:eastAsia="en-US"/>
        </w:rPr>
        <w:t>Με εκτίμηση</w:t>
      </w:r>
    </w:p>
    <w:p w:rsidR="00BA2143" w:rsidRDefault="00BA2143" w:rsidP="0088720D">
      <w:pPr>
        <w:rPr>
          <w:rFonts w:asciiTheme="minorHAnsi" w:hAnsiTheme="minorHAnsi"/>
          <w:lang w:eastAsia="en-US"/>
        </w:rPr>
      </w:pPr>
    </w:p>
    <w:p w:rsidR="00A45993" w:rsidRPr="00037E47" w:rsidRDefault="00A45993" w:rsidP="0088720D">
      <w:pPr>
        <w:rPr>
          <w:rFonts w:asciiTheme="minorHAnsi" w:hAnsiTheme="minorHAnsi"/>
          <w:lang w:eastAsia="en-US"/>
        </w:rPr>
      </w:pPr>
    </w:p>
    <w:p w:rsidR="00BA2143" w:rsidRPr="00037E47" w:rsidRDefault="009A14F6" w:rsidP="00020CCE">
      <w:pPr>
        <w:jc w:val="center"/>
        <w:rPr>
          <w:rFonts w:asciiTheme="minorHAnsi" w:hAnsiTheme="minorHAnsi"/>
          <w:lang w:eastAsia="en-US"/>
        </w:rPr>
      </w:pPr>
      <w:r w:rsidRPr="00037E47">
        <w:rPr>
          <w:rFonts w:asciiTheme="minorHAnsi" w:hAnsiTheme="minorHAnsi"/>
          <w:lang w:eastAsia="en-US"/>
        </w:rPr>
        <w:t>Ο Πρόε</w:t>
      </w:r>
      <w:r w:rsidR="00020CCE" w:rsidRPr="00037E47">
        <w:rPr>
          <w:rFonts w:asciiTheme="minorHAnsi" w:hAnsiTheme="minorHAnsi"/>
          <w:lang w:eastAsia="en-US"/>
        </w:rPr>
        <w:t>δρος του Επιμελητηρίου Κέρκυρας</w:t>
      </w:r>
      <w:r w:rsidR="00BA2143" w:rsidRPr="00037E47">
        <w:rPr>
          <w:rFonts w:asciiTheme="minorHAnsi" w:hAnsiTheme="minorHAnsi"/>
          <w:lang w:eastAsia="en-US"/>
        </w:rPr>
        <w:t xml:space="preserve"> και </w:t>
      </w:r>
    </w:p>
    <w:p w:rsidR="00F37965" w:rsidRPr="00037E47" w:rsidRDefault="00BA2143" w:rsidP="00020CCE">
      <w:pPr>
        <w:jc w:val="center"/>
        <w:rPr>
          <w:rFonts w:asciiTheme="minorHAnsi" w:hAnsiTheme="minorHAnsi"/>
          <w:lang w:eastAsia="en-US"/>
        </w:rPr>
      </w:pPr>
      <w:r w:rsidRPr="00037E47">
        <w:rPr>
          <w:rFonts w:asciiTheme="minorHAnsi" w:eastAsiaTheme="minorHAnsi" w:hAnsiTheme="minorHAnsi" w:cstheme="minorBidi"/>
          <w:lang w:eastAsia="en-US"/>
        </w:rPr>
        <w:t>Πρόεδρος του Περιφερειακού Επιμελητηριακού Συμβουλίου Ιονίων Νήσων</w:t>
      </w:r>
    </w:p>
    <w:p w:rsidR="00020CCE" w:rsidRPr="00037E47" w:rsidRDefault="00020CCE" w:rsidP="003516D2">
      <w:pPr>
        <w:jc w:val="center"/>
      </w:pPr>
      <w:r w:rsidRPr="00037E47">
        <w:rPr>
          <w:rFonts w:asciiTheme="minorHAnsi" w:hAnsiTheme="minorHAnsi"/>
          <w:lang w:eastAsia="en-US"/>
        </w:rPr>
        <w:t>Γεώργιος Π. Χονδρογιάννης</w:t>
      </w:r>
    </w:p>
    <w:sectPr w:rsidR="00020CCE" w:rsidRPr="00037E47" w:rsidSect="006F2CE0">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18" w:rsidRDefault="00B33A18" w:rsidP="00020CCE">
      <w:r>
        <w:separator/>
      </w:r>
    </w:p>
  </w:endnote>
  <w:endnote w:type="continuationSeparator" w:id="0">
    <w:p w:rsidR="00B33A18" w:rsidRDefault="00B33A18" w:rsidP="000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18" w:rsidRDefault="00B33A18" w:rsidP="00020CCE">
      <w:r>
        <w:separator/>
      </w:r>
    </w:p>
  </w:footnote>
  <w:footnote w:type="continuationSeparator" w:id="0">
    <w:p w:rsidR="00B33A18" w:rsidRDefault="00B33A18" w:rsidP="0002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B33A1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8" o:spid="_x0000_s2050" type="#_x0000_t75" style="position:absolute;margin-left:0;margin-top:0;width:415.25pt;height:233.85pt;z-index:-251657216;mso-position-horizontal:center;mso-position-horizontal-relative:margin;mso-position-vertical:center;mso-position-vertical-relative:margin" o:allowincell="f">
          <v:imagedata r:id="rId1" o:title="logo ep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2"/>
      <w:tblW w:w="8869" w:type="dxa"/>
      <w:tblLook w:val="01E0" w:firstRow="1" w:lastRow="1" w:firstColumn="1" w:lastColumn="1" w:noHBand="0" w:noVBand="0"/>
    </w:tblPr>
    <w:tblGrid>
      <w:gridCol w:w="5228"/>
      <w:gridCol w:w="3641"/>
    </w:tblGrid>
    <w:tr w:rsidR="00020CCE" w:rsidRPr="00FB4CF3" w:rsidTr="006677AA">
      <w:trPr>
        <w:trHeight w:val="629"/>
      </w:trPr>
      <w:tc>
        <w:tcPr>
          <w:tcW w:w="5228" w:type="dxa"/>
        </w:tcPr>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Pr>
              <w:rFonts w:ascii="Arial" w:hAnsi="Arial" w:cs="Arial"/>
              <w:b/>
              <w:noProof/>
              <w:sz w:val="18"/>
              <w:szCs w:val="18"/>
            </w:rPr>
            <w:drawing>
              <wp:inline distT="0" distB="0" distL="0" distR="0" wp14:anchorId="04BBD0C3" wp14:editId="3444841C">
                <wp:extent cx="457200" cy="441960"/>
                <wp:effectExtent l="19050" t="0" r="0" b="0"/>
                <wp:docPr id="4" name="Εικόνα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sidRPr="00F8358E">
            <w:rPr>
              <w:rFonts w:ascii="Arial" w:hAnsi="Arial" w:cs="Arial"/>
              <w:sz w:val="18"/>
              <w:szCs w:val="18"/>
            </w:rPr>
            <w:t>ΕΛΛΗΝΙΚΗ ΔΗΜΟΚΡΑΤΙΑ</w:t>
          </w:r>
        </w:p>
        <w:p w:rsidR="00020CCE" w:rsidRPr="006F0AA9" w:rsidRDefault="00020CCE" w:rsidP="00020CCE">
          <w:pPr>
            <w:ind w:left="-180"/>
            <w:jc w:val="center"/>
            <w:rPr>
              <w:rFonts w:ascii="Arial" w:hAnsi="Arial" w:cs="Arial"/>
              <w:b/>
              <w:sz w:val="18"/>
              <w:szCs w:val="18"/>
            </w:rPr>
          </w:pPr>
          <w:r w:rsidRPr="00F8358E">
            <w:rPr>
              <w:rFonts w:ascii="Arial" w:hAnsi="Arial" w:cs="Arial"/>
              <w:b/>
              <w:sz w:val="18"/>
              <w:szCs w:val="18"/>
            </w:rPr>
            <w:t>ΕΠΙΜΕΛΗΤΗΡΙΟ ΚΕΡΚΥΡΑΣ</w:t>
          </w:r>
        </w:p>
        <w:p w:rsidR="00020CCE" w:rsidRPr="006F0AA9" w:rsidRDefault="00020CCE" w:rsidP="00020CCE">
          <w:pPr>
            <w:ind w:left="-180"/>
            <w:jc w:val="center"/>
            <w:rPr>
              <w:rFonts w:ascii="Arial" w:hAnsi="Arial" w:cs="Arial"/>
              <w:b/>
              <w:sz w:val="18"/>
              <w:szCs w:val="18"/>
            </w:rPr>
          </w:pPr>
        </w:p>
        <w:p w:rsidR="00020CCE" w:rsidRPr="00371139" w:rsidRDefault="00020CCE" w:rsidP="00020CCE">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020CCE" w:rsidRPr="00F8358E" w:rsidRDefault="00020CCE" w:rsidP="00020CCE">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020CCE" w:rsidRDefault="00020CCE" w:rsidP="00020CCE">
          <w:pPr>
            <w:spacing w:before="120" w:after="120"/>
            <w:jc w:val="center"/>
            <w:rPr>
              <w:rFonts w:ascii="Arial" w:hAnsi="Arial" w:cs="Arial"/>
              <w:sz w:val="18"/>
              <w:szCs w:val="18"/>
              <w:lang w:val="en-GB"/>
            </w:rPr>
          </w:pPr>
        </w:p>
        <w:p w:rsidR="00020CCE" w:rsidRPr="00F8358E" w:rsidRDefault="00020CCE" w:rsidP="00020CCE">
          <w:pPr>
            <w:spacing w:before="120" w:after="120"/>
            <w:jc w:val="center"/>
            <w:rPr>
              <w:rFonts w:ascii="Arial" w:hAnsi="Arial" w:cs="Arial"/>
              <w:sz w:val="18"/>
              <w:szCs w:val="18"/>
              <w:lang w:val="en-GB"/>
            </w:rPr>
          </w:pPr>
        </w:p>
      </w:tc>
      <w:tc>
        <w:tcPr>
          <w:tcW w:w="3641" w:type="dxa"/>
        </w:tcPr>
        <w:p w:rsidR="00020CCE" w:rsidRPr="00F8358E" w:rsidRDefault="00020CCE" w:rsidP="00020CCE">
          <w:pPr>
            <w:spacing w:before="120" w:after="120"/>
            <w:jc w:val="center"/>
            <w:rPr>
              <w:rFonts w:ascii="Arial" w:hAnsi="Arial" w:cs="Arial"/>
              <w:sz w:val="18"/>
              <w:szCs w:val="18"/>
              <w:lang w:val="en-GB"/>
            </w:rPr>
          </w:pPr>
        </w:p>
      </w:tc>
    </w:tr>
  </w:tbl>
  <w:p w:rsidR="00020CCE" w:rsidRPr="00020CCE" w:rsidRDefault="00B33A18">
    <w:pPr>
      <w:pStyle w:val="a3"/>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9" o:spid="_x0000_s2051" type="#_x0000_t75" style="position:absolute;margin-left:0;margin-top:0;width:415.25pt;height:233.85pt;z-index:-251656192;mso-position-horizontal:center;mso-position-horizontal-relative:margin;mso-position-vertical:center;mso-position-vertical-relative:margin" o:allowincell="f">
          <v:imagedata r:id="rId2" o:title="logo ep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B33A1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7" o:spid="_x0000_s2049" type="#_x0000_t75" style="position:absolute;margin-left:0;margin-top:0;width:415.25pt;height:233.85pt;z-index:-251658240;mso-position-horizontal:center;mso-position-horizontal-relative:margin;mso-position-vertical:center;mso-position-vertical-relative:margin" o:allowincell="f">
          <v:imagedata r:id="rId1" o:title="logo ep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C7C"/>
    <w:multiLevelType w:val="hybridMultilevel"/>
    <w:tmpl w:val="5E78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F1B98"/>
    <w:multiLevelType w:val="hybridMultilevel"/>
    <w:tmpl w:val="33128BEC"/>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E3986"/>
    <w:multiLevelType w:val="hybridMultilevel"/>
    <w:tmpl w:val="4914F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7ACC"/>
    <w:multiLevelType w:val="hybridMultilevel"/>
    <w:tmpl w:val="70F4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9A7937"/>
    <w:multiLevelType w:val="hybridMultilevel"/>
    <w:tmpl w:val="E9AE6464"/>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B91033"/>
    <w:multiLevelType w:val="hybridMultilevel"/>
    <w:tmpl w:val="16FC3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186FEA"/>
    <w:multiLevelType w:val="hybridMultilevel"/>
    <w:tmpl w:val="E0F4731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2D192E"/>
    <w:multiLevelType w:val="hybridMultilevel"/>
    <w:tmpl w:val="14B4A1C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2D7D5E0D"/>
    <w:multiLevelType w:val="hybridMultilevel"/>
    <w:tmpl w:val="8C38E1C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BB4566"/>
    <w:multiLevelType w:val="hybridMultilevel"/>
    <w:tmpl w:val="397A8F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D5225F"/>
    <w:multiLevelType w:val="hybridMultilevel"/>
    <w:tmpl w:val="DD4646A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C67A94"/>
    <w:multiLevelType w:val="hybridMultilevel"/>
    <w:tmpl w:val="0192C0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E83C98"/>
    <w:multiLevelType w:val="hybridMultilevel"/>
    <w:tmpl w:val="86C22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CF3A66"/>
    <w:multiLevelType w:val="hybridMultilevel"/>
    <w:tmpl w:val="41C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26758B"/>
    <w:multiLevelType w:val="hybridMultilevel"/>
    <w:tmpl w:val="C390E96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8D682B"/>
    <w:multiLevelType w:val="hybridMultilevel"/>
    <w:tmpl w:val="B6904A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E90A1F"/>
    <w:multiLevelType w:val="hybridMultilevel"/>
    <w:tmpl w:val="E4B6A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1D0E65"/>
    <w:multiLevelType w:val="hybridMultilevel"/>
    <w:tmpl w:val="D6EEE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9165D9"/>
    <w:multiLevelType w:val="hybridMultilevel"/>
    <w:tmpl w:val="1EC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8"/>
  </w:num>
  <w:num w:numId="6">
    <w:abstractNumId w:val="15"/>
  </w:num>
  <w:num w:numId="7">
    <w:abstractNumId w:val="14"/>
  </w:num>
  <w:num w:numId="8">
    <w:abstractNumId w:val="10"/>
  </w:num>
  <w:num w:numId="9">
    <w:abstractNumId w:val="6"/>
  </w:num>
  <w:num w:numId="10">
    <w:abstractNumId w:val="13"/>
  </w:num>
  <w:num w:numId="11">
    <w:abstractNumId w:val="1"/>
  </w:num>
  <w:num w:numId="12">
    <w:abstractNumId w:val="4"/>
  </w:num>
  <w:num w:numId="13">
    <w:abstractNumId w:val="7"/>
  </w:num>
  <w:num w:numId="14">
    <w:abstractNumId w:val="0"/>
  </w:num>
  <w:num w:numId="15">
    <w:abstractNumId w:val="16"/>
  </w:num>
  <w:num w:numId="16">
    <w:abstractNumId w:val="3"/>
  </w:num>
  <w:num w:numId="17">
    <w:abstractNumId w:val="1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3"/>
    <w:rsid w:val="00020CCE"/>
    <w:rsid w:val="00023D5C"/>
    <w:rsid w:val="00037E47"/>
    <w:rsid w:val="00037FF1"/>
    <w:rsid w:val="00052191"/>
    <w:rsid w:val="00054191"/>
    <w:rsid w:val="00056900"/>
    <w:rsid w:val="00062322"/>
    <w:rsid w:val="00065973"/>
    <w:rsid w:val="000B1138"/>
    <w:rsid w:val="000C01AA"/>
    <w:rsid w:val="000D228C"/>
    <w:rsid w:val="000E4BBB"/>
    <w:rsid w:val="000F0633"/>
    <w:rsid w:val="000F4AB8"/>
    <w:rsid w:val="00102793"/>
    <w:rsid w:val="00131C8D"/>
    <w:rsid w:val="00135BA4"/>
    <w:rsid w:val="0018674F"/>
    <w:rsid w:val="001A23A9"/>
    <w:rsid w:val="001A468C"/>
    <w:rsid w:val="001D5FDA"/>
    <w:rsid w:val="001E1192"/>
    <w:rsid w:val="00202649"/>
    <w:rsid w:val="002111BE"/>
    <w:rsid w:val="00215383"/>
    <w:rsid w:val="00235987"/>
    <w:rsid w:val="0023643F"/>
    <w:rsid w:val="002558D4"/>
    <w:rsid w:val="00264309"/>
    <w:rsid w:val="002A70D5"/>
    <w:rsid w:val="002A77EE"/>
    <w:rsid w:val="002D4F91"/>
    <w:rsid w:val="002E56F0"/>
    <w:rsid w:val="002E6C36"/>
    <w:rsid w:val="002F315E"/>
    <w:rsid w:val="00301FE5"/>
    <w:rsid w:val="003036AE"/>
    <w:rsid w:val="003104F9"/>
    <w:rsid w:val="00325D84"/>
    <w:rsid w:val="0032791E"/>
    <w:rsid w:val="003516D2"/>
    <w:rsid w:val="0036367E"/>
    <w:rsid w:val="003744D3"/>
    <w:rsid w:val="003775A5"/>
    <w:rsid w:val="003A09B5"/>
    <w:rsid w:val="003D3CB3"/>
    <w:rsid w:val="003E6CAF"/>
    <w:rsid w:val="003F184A"/>
    <w:rsid w:val="003F42C0"/>
    <w:rsid w:val="00404E4D"/>
    <w:rsid w:val="00451364"/>
    <w:rsid w:val="00460C14"/>
    <w:rsid w:val="00472444"/>
    <w:rsid w:val="00472BD5"/>
    <w:rsid w:val="004879EE"/>
    <w:rsid w:val="004A1C24"/>
    <w:rsid w:val="004B1A38"/>
    <w:rsid w:val="004C3503"/>
    <w:rsid w:val="004E30D1"/>
    <w:rsid w:val="004E3E4F"/>
    <w:rsid w:val="00502571"/>
    <w:rsid w:val="00503E88"/>
    <w:rsid w:val="00521F3D"/>
    <w:rsid w:val="00523BD7"/>
    <w:rsid w:val="0053381F"/>
    <w:rsid w:val="005413AA"/>
    <w:rsid w:val="0056081B"/>
    <w:rsid w:val="005650D4"/>
    <w:rsid w:val="00584368"/>
    <w:rsid w:val="005B2298"/>
    <w:rsid w:val="005B57E5"/>
    <w:rsid w:val="005D23B0"/>
    <w:rsid w:val="005E130F"/>
    <w:rsid w:val="006128BF"/>
    <w:rsid w:val="00623C0C"/>
    <w:rsid w:val="00641921"/>
    <w:rsid w:val="00642E3D"/>
    <w:rsid w:val="0064372A"/>
    <w:rsid w:val="0067325D"/>
    <w:rsid w:val="006814E0"/>
    <w:rsid w:val="006A1E34"/>
    <w:rsid w:val="006C3FED"/>
    <w:rsid w:val="006D7483"/>
    <w:rsid w:val="006E0D00"/>
    <w:rsid w:val="006E559B"/>
    <w:rsid w:val="006F2CE0"/>
    <w:rsid w:val="007100BA"/>
    <w:rsid w:val="00712933"/>
    <w:rsid w:val="00716A59"/>
    <w:rsid w:val="00717C23"/>
    <w:rsid w:val="00723A03"/>
    <w:rsid w:val="00725F6F"/>
    <w:rsid w:val="007329ED"/>
    <w:rsid w:val="00741633"/>
    <w:rsid w:val="00746A16"/>
    <w:rsid w:val="00754B5A"/>
    <w:rsid w:val="00757B7C"/>
    <w:rsid w:val="00757C30"/>
    <w:rsid w:val="00770D11"/>
    <w:rsid w:val="007722AD"/>
    <w:rsid w:val="007805F8"/>
    <w:rsid w:val="007853CF"/>
    <w:rsid w:val="00785634"/>
    <w:rsid w:val="007A37A7"/>
    <w:rsid w:val="007A4C38"/>
    <w:rsid w:val="007C77E1"/>
    <w:rsid w:val="007E260A"/>
    <w:rsid w:val="007F1F06"/>
    <w:rsid w:val="007F6412"/>
    <w:rsid w:val="007F69CA"/>
    <w:rsid w:val="008019E5"/>
    <w:rsid w:val="00802F77"/>
    <w:rsid w:val="008068F8"/>
    <w:rsid w:val="00817EDF"/>
    <w:rsid w:val="00836608"/>
    <w:rsid w:val="00863D6D"/>
    <w:rsid w:val="00866C47"/>
    <w:rsid w:val="00884737"/>
    <w:rsid w:val="0088720D"/>
    <w:rsid w:val="0089261F"/>
    <w:rsid w:val="00896165"/>
    <w:rsid w:val="008B044F"/>
    <w:rsid w:val="008E3F1F"/>
    <w:rsid w:val="00916A6F"/>
    <w:rsid w:val="00927FE6"/>
    <w:rsid w:val="009355A1"/>
    <w:rsid w:val="00951A63"/>
    <w:rsid w:val="009620A0"/>
    <w:rsid w:val="00980D50"/>
    <w:rsid w:val="009855D3"/>
    <w:rsid w:val="0098566C"/>
    <w:rsid w:val="00986A17"/>
    <w:rsid w:val="00991D0F"/>
    <w:rsid w:val="009A09F5"/>
    <w:rsid w:val="009A14F6"/>
    <w:rsid w:val="009B0D5D"/>
    <w:rsid w:val="009B5F83"/>
    <w:rsid w:val="009C5215"/>
    <w:rsid w:val="009D568F"/>
    <w:rsid w:val="00A019A8"/>
    <w:rsid w:val="00A15CD5"/>
    <w:rsid w:val="00A22FE3"/>
    <w:rsid w:val="00A24571"/>
    <w:rsid w:val="00A4495C"/>
    <w:rsid w:val="00A45993"/>
    <w:rsid w:val="00A61A06"/>
    <w:rsid w:val="00AC4D10"/>
    <w:rsid w:val="00AC6B0D"/>
    <w:rsid w:val="00AC7512"/>
    <w:rsid w:val="00AF24E3"/>
    <w:rsid w:val="00B04B7C"/>
    <w:rsid w:val="00B06AA3"/>
    <w:rsid w:val="00B33A18"/>
    <w:rsid w:val="00B347BE"/>
    <w:rsid w:val="00B910C0"/>
    <w:rsid w:val="00BA2143"/>
    <w:rsid w:val="00BA66FD"/>
    <w:rsid w:val="00BB1BF6"/>
    <w:rsid w:val="00BB763A"/>
    <w:rsid w:val="00BD06FE"/>
    <w:rsid w:val="00C1469C"/>
    <w:rsid w:val="00C279B4"/>
    <w:rsid w:val="00C52599"/>
    <w:rsid w:val="00C62DE6"/>
    <w:rsid w:val="00C805DB"/>
    <w:rsid w:val="00CA10D9"/>
    <w:rsid w:val="00CA545A"/>
    <w:rsid w:val="00CA5BF5"/>
    <w:rsid w:val="00CD5833"/>
    <w:rsid w:val="00CD7FA6"/>
    <w:rsid w:val="00D10C3C"/>
    <w:rsid w:val="00D27DDF"/>
    <w:rsid w:val="00D31124"/>
    <w:rsid w:val="00D32045"/>
    <w:rsid w:val="00D619BC"/>
    <w:rsid w:val="00D638CD"/>
    <w:rsid w:val="00D77201"/>
    <w:rsid w:val="00D87A8F"/>
    <w:rsid w:val="00D97D98"/>
    <w:rsid w:val="00DA0766"/>
    <w:rsid w:val="00DB7D89"/>
    <w:rsid w:val="00DC00C4"/>
    <w:rsid w:val="00DE4203"/>
    <w:rsid w:val="00DF4E70"/>
    <w:rsid w:val="00E22144"/>
    <w:rsid w:val="00E31C4F"/>
    <w:rsid w:val="00E45962"/>
    <w:rsid w:val="00E81896"/>
    <w:rsid w:val="00EA1EBA"/>
    <w:rsid w:val="00EA41FF"/>
    <w:rsid w:val="00EA7737"/>
    <w:rsid w:val="00EC0809"/>
    <w:rsid w:val="00EC6767"/>
    <w:rsid w:val="00EE0222"/>
    <w:rsid w:val="00EE0DA1"/>
    <w:rsid w:val="00EE2F2E"/>
    <w:rsid w:val="00EF1A07"/>
    <w:rsid w:val="00F15761"/>
    <w:rsid w:val="00F37965"/>
    <w:rsid w:val="00F37A71"/>
    <w:rsid w:val="00F37ABD"/>
    <w:rsid w:val="00F41AF9"/>
    <w:rsid w:val="00F518E5"/>
    <w:rsid w:val="00F562B7"/>
    <w:rsid w:val="00F6530A"/>
    <w:rsid w:val="00F92F3D"/>
    <w:rsid w:val="00FB4CF3"/>
    <w:rsid w:val="00FD06CC"/>
    <w:rsid w:val="00FD0A91"/>
    <w:rsid w:val="00FD29D4"/>
    <w:rsid w:val="00FD6258"/>
    <w:rsid w:val="00FE5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BCD5A757-ED16-4D4C-8243-0D7558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C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0CCE"/>
    <w:pPr>
      <w:spacing w:before="100" w:beforeAutospacing="1" w:after="100" w:afterAutospacing="1"/>
    </w:pPr>
  </w:style>
  <w:style w:type="paragraph" w:customStyle="1" w:styleId="Body">
    <w:name w:val="Body"/>
    <w:rsid w:val="00020CCE"/>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 w:type="paragraph" w:styleId="a3">
    <w:name w:val="header"/>
    <w:basedOn w:val="a"/>
    <w:link w:val="Char"/>
    <w:uiPriority w:val="99"/>
    <w:unhideWhenUsed/>
    <w:rsid w:val="00020CCE"/>
    <w:pPr>
      <w:tabs>
        <w:tab w:val="center" w:pos="4153"/>
        <w:tab w:val="right" w:pos="8306"/>
      </w:tabs>
    </w:pPr>
  </w:style>
  <w:style w:type="character" w:customStyle="1" w:styleId="Char">
    <w:name w:val="Κεφαλίδα Char"/>
    <w:basedOn w:val="a0"/>
    <w:link w:val="a3"/>
    <w:uiPriority w:val="99"/>
    <w:rsid w:val="00020CCE"/>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20CCE"/>
    <w:pPr>
      <w:tabs>
        <w:tab w:val="center" w:pos="4153"/>
        <w:tab w:val="right" w:pos="8306"/>
      </w:tabs>
    </w:pPr>
  </w:style>
  <w:style w:type="character" w:customStyle="1" w:styleId="Char0">
    <w:name w:val="Υποσέλιδο Char"/>
    <w:basedOn w:val="a0"/>
    <w:link w:val="a4"/>
    <w:uiPriority w:val="99"/>
    <w:rsid w:val="00020CC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15CD5"/>
    <w:rPr>
      <w:rFonts w:ascii="Segoe UI" w:hAnsi="Segoe UI" w:cs="Segoe UI"/>
      <w:sz w:val="18"/>
      <w:szCs w:val="18"/>
    </w:rPr>
  </w:style>
  <w:style w:type="character" w:customStyle="1" w:styleId="Char1">
    <w:name w:val="Κείμενο πλαισίου Char"/>
    <w:basedOn w:val="a0"/>
    <w:link w:val="a5"/>
    <w:uiPriority w:val="99"/>
    <w:semiHidden/>
    <w:rsid w:val="00A15CD5"/>
    <w:rPr>
      <w:rFonts w:ascii="Segoe UI" w:eastAsia="Times New Roman" w:hAnsi="Segoe UI" w:cs="Segoe UI"/>
      <w:sz w:val="18"/>
      <w:szCs w:val="18"/>
      <w:lang w:eastAsia="el-GR"/>
    </w:rPr>
  </w:style>
  <w:style w:type="character" w:styleId="-">
    <w:name w:val="Hyperlink"/>
    <w:basedOn w:val="a0"/>
    <w:uiPriority w:val="99"/>
    <w:unhideWhenUsed/>
    <w:rsid w:val="005D23B0"/>
    <w:rPr>
      <w:color w:val="0563C1" w:themeColor="hyperlink"/>
      <w:u w:val="single"/>
    </w:rPr>
  </w:style>
  <w:style w:type="paragraph" w:styleId="a6">
    <w:name w:val="List Paragraph"/>
    <w:basedOn w:val="a"/>
    <w:uiPriority w:val="34"/>
    <w:qFormat/>
    <w:rsid w:val="00FD6258"/>
    <w:pPr>
      <w:ind w:left="720"/>
      <w:contextualSpacing/>
    </w:pPr>
  </w:style>
  <w:style w:type="paragraph" w:styleId="a7">
    <w:name w:val="footnote text"/>
    <w:basedOn w:val="a"/>
    <w:link w:val="Char2"/>
    <w:uiPriority w:val="99"/>
    <w:semiHidden/>
    <w:unhideWhenUsed/>
    <w:rsid w:val="00F37965"/>
    <w:rPr>
      <w:sz w:val="20"/>
      <w:szCs w:val="20"/>
    </w:rPr>
  </w:style>
  <w:style w:type="character" w:customStyle="1" w:styleId="Char2">
    <w:name w:val="Κείμενο υποσημείωσης Char"/>
    <w:basedOn w:val="a0"/>
    <w:link w:val="a7"/>
    <w:uiPriority w:val="99"/>
    <w:semiHidden/>
    <w:rsid w:val="00F37965"/>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F3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622">
      <w:bodyDiv w:val="1"/>
      <w:marLeft w:val="0"/>
      <w:marRight w:val="0"/>
      <w:marTop w:val="0"/>
      <w:marBottom w:val="0"/>
      <w:divBdr>
        <w:top w:val="none" w:sz="0" w:space="0" w:color="auto"/>
        <w:left w:val="none" w:sz="0" w:space="0" w:color="auto"/>
        <w:bottom w:val="none" w:sz="0" w:space="0" w:color="auto"/>
        <w:right w:val="none" w:sz="0" w:space="0" w:color="auto"/>
      </w:divBdr>
    </w:div>
    <w:div w:id="372970699">
      <w:bodyDiv w:val="1"/>
      <w:marLeft w:val="0"/>
      <w:marRight w:val="0"/>
      <w:marTop w:val="0"/>
      <w:marBottom w:val="0"/>
      <w:divBdr>
        <w:top w:val="none" w:sz="0" w:space="0" w:color="auto"/>
        <w:left w:val="none" w:sz="0" w:space="0" w:color="auto"/>
        <w:bottom w:val="none" w:sz="0" w:space="0" w:color="auto"/>
        <w:right w:val="none" w:sz="0" w:space="0" w:color="auto"/>
      </w:divBdr>
    </w:div>
    <w:div w:id="478301064">
      <w:bodyDiv w:val="1"/>
      <w:marLeft w:val="0"/>
      <w:marRight w:val="0"/>
      <w:marTop w:val="0"/>
      <w:marBottom w:val="0"/>
      <w:divBdr>
        <w:top w:val="none" w:sz="0" w:space="0" w:color="auto"/>
        <w:left w:val="none" w:sz="0" w:space="0" w:color="auto"/>
        <w:bottom w:val="none" w:sz="0" w:space="0" w:color="auto"/>
        <w:right w:val="none" w:sz="0" w:space="0" w:color="auto"/>
      </w:divBdr>
    </w:div>
    <w:div w:id="1325010234">
      <w:bodyDiv w:val="1"/>
      <w:marLeft w:val="0"/>
      <w:marRight w:val="0"/>
      <w:marTop w:val="0"/>
      <w:marBottom w:val="0"/>
      <w:divBdr>
        <w:top w:val="none" w:sz="0" w:space="0" w:color="auto"/>
        <w:left w:val="none" w:sz="0" w:space="0" w:color="auto"/>
        <w:bottom w:val="none" w:sz="0" w:space="0" w:color="auto"/>
        <w:right w:val="none" w:sz="0" w:space="0" w:color="auto"/>
      </w:divBdr>
    </w:div>
    <w:div w:id="18512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3B36-4541-4B02-BD11-EE51C644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2440</Words>
  <Characters>13180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cp:lastModifiedBy>
  <cp:revision>32</cp:revision>
  <cp:lastPrinted>2019-02-13T11:22:00Z</cp:lastPrinted>
  <dcterms:created xsi:type="dcterms:W3CDTF">2019-02-13T11:23:00Z</dcterms:created>
  <dcterms:modified xsi:type="dcterms:W3CDTF">2019-10-16T09:27:00Z</dcterms:modified>
</cp:coreProperties>
</file>